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8FF8E7">
      <w:pPr>
        <w:pStyle w:val="13"/>
      </w:pPr>
      <w:bookmarkStart w:id="2" w:name="_GoBack"/>
      <w:bookmarkEnd w:id="2"/>
      <w:r>
        <w:rPr>
          <w:rFonts w:hint="eastAsia"/>
        </w:rPr>
        <w:t>项目需求书（货物</w:t>
      </w:r>
      <w:r>
        <w:t>-</w:t>
      </w:r>
      <w:r>
        <w:rPr>
          <w:rFonts w:hint="eastAsia"/>
        </w:rPr>
        <w:t>协同办公系统建设项目）</w:t>
      </w:r>
    </w:p>
    <w:p w14:paraId="7952363D">
      <w:pPr>
        <w:spacing w:line="360" w:lineRule="auto"/>
        <w:ind w:firstLine="482" w:firstLineChars="200"/>
        <w:rPr>
          <w:rFonts w:hint="eastAsia" w:ascii="宋体" w:hAnsi="宋体"/>
          <w:b/>
          <w:sz w:val="24"/>
        </w:rPr>
      </w:pPr>
      <w:r>
        <w:rPr>
          <w:rFonts w:hint="eastAsia" w:ascii="宋体" w:hAnsi="宋体"/>
          <w:b/>
          <w:sz w:val="24"/>
        </w:rPr>
        <w:t>一、项目背景</w:t>
      </w:r>
    </w:p>
    <w:p w14:paraId="20BFA08B">
      <w:pPr>
        <w:tabs>
          <w:tab w:val="left" w:pos="360"/>
          <w:tab w:val="left" w:pos="540"/>
        </w:tabs>
        <w:spacing w:line="360" w:lineRule="auto"/>
        <w:ind w:firstLine="420" w:firstLineChars="200"/>
        <w:rPr>
          <w:rFonts w:hint="eastAsia" w:ascii="宋体" w:hAnsi="宋体" w:cs="宋体"/>
          <w:szCs w:val="21"/>
        </w:rPr>
      </w:pPr>
      <w:r>
        <w:rPr>
          <w:rFonts w:hint="eastAsia" w:ascii="宋体" w:hAnsi="宋体" w:cs="宋体"/>
          <w:szCs w:val="21"/>
        </w:rPr>
        <w:t>我校现有协同办公系统自2016年上线以来，为学校数字化办公与无纸化转型提供了重要支撑。但随着办学规模持续扩大，学校“十五五”发展规划推进，原有系统运行时间较久，部分功能丧失，非国产化，已无法满足当前办公管理需求，核心短板日益凸显：移动端适配能力不足，未与企业微信实现深度联动，影响移动办公体验与效率；系统架构无法与信创环境兼容，安全防护体系薄弱，存在潜在信息安全风险。</w:t>
      </w:r>
    </w:p>
    <w:p w14:paraId="2C12F0FA">
      <w:pPr>
        <w:spacing w:line="360" w:lineRule="auto"/>
        <w:ind w:firstLine="420" w:firstLineChars="200"/>
        <w:rPr>
          <w:rFonts w:hint="eastAsia" w:ascii="宋体" w:hAnsi="宋体"/>
          <w:sz w:val="24"/>
        </w:rPr>
      </w:pPr>
      <w:r>
        <w:rPr>
          <w:rFonts w:hint="eastAsia" w:ascii="宋体" w:hAnsi="宋体" w:cs="宋体"/>
          <w:szCs w:val="21"/>
        </w:rPr>
        <w:t>为系统性解决上述问题，本项目拟新建一套新一代协同办公系统，重点推进信创适配改造、企业微信深度集成，助力业务流程优化与跨部门高效协同。本项目将推进信创改造，构建国产化架构、联动企业微信，实现流程优化与高效协同，切实提升学校办公效率，为学校高质量发展注入数字化动力。</w:t>
      </w:r>
    </w:p>
    <w:p w14:paraId="6F926E86">
      <w:pPr>
        <w:spacing w:line="360" w:lineRule="auto"/>
        <w:ind w:firstLine="482" w:firstLineChars="200"/>
        <w:rPr>
          <w:b/>
          <w:sz w:val="24"/>
        </w:rPr>
      </w:pPr>
      <w:r>
        <w:rPr>
          <w:b/>
          <w:sz w:val="24"/>
        </w:rPr>
        <w:t>二、项目预算</w:t>
      </w:r>
    </w:p>
    <w:p w14:paraId="4E4080EA">
      <w:pPr>
        <w:spacing w:line="360" w:lineRule="auto"/>
        <w:ind w:firstLine="480" w:firstLineChars="200"/>
        <w:rPr>
          <w:sz w:val="24"/>
        </w:rPr>
      </w:pPr>
      <w:r>
        <w:rPr>
          <w:rFonts w:hint="eastAsia"/>
          <w:sz w:val="24"/>
        </w:rPr>
        <w:t>包1</w:t>
      </w:r>
      <w:r>
        <w:rPr>
          <w:sz w:val="24"/>
        </w:rPr>
        <w:t>：</w:t>
      </w:r>
      <w:r>
        <w:rPr>
          <w:rFonts w:hint="eastAsia"/>
          <w:sz w:val="24"/>
        </w:rPr>
        <w:t>94万</w:t>
      </w:r>
      <w:r>
        <w:rPr>
          <w:sz w:val="24"/>
        </w:rPr>
        <w:t>元；</w:t>
      </w:r>
      <w:r>
        <w:rPr>
          <w:rFonts w:hint="eastAsia"/>
          <w:sz w:val="24"/>
        </w:rPr>
        <w:t xml:space="preserve"> 最高预算限价94元</w:t>
      </w:r>
    </w:p>
    <w:p w14:paraId="61CCE004">
      <w:pPr>
        <w:spacing w:line="360" w:lineRule="auto"/>
        <w:ind w:firstLine="480" w:firstLineChars="200"/>
        <w:rPr>
          <w:sz w:val="24"/>
        </w:rPr>
      </w:pPr>
      <w:r>
        <w:rPr>
          <w:rFonts w:hint="eastAsia"/>
          <w:sz w:val="24"/>
        </w:rPr>
        <w:t>项目总预算94万元</w:t>
      </w:r>
    </w:p>
    <w:p w14:paraId="1B6B0131">
      <w:pPr>
        <w:spacing w:line="360" w:lineRule="auto"/>
        <w:ind w:firstLine="482" w:firstLineChars="200"/>
        <w:rPr>
          <w:rFonts w:hint="eastAsia" w:ascii="宋体" w:hAnsi="宋体"/>
          <w:b/>
          <w:sz w:val="24"/>
        </w:rPr>
      </w:pPr>
      <w:r>
        <w:rPr>
          <w:rFonts w:hint="eastAsia" w:ascii="宋体" w:hAnsi="宋体"/>
          <w:b/>
          <w:sz w:val="24"/>
        </w:rPr>
        <w:t>三、资格要求</w:t>
      </w:r>
    </w:p>
    <w:p w14:paraId="67E581B4">
      <w:pPr>
        <w:spacing w:line="360" w:lineRule="auto"/>
        <w:ind w:firstLine="480" w:firstLineChars="200"/>
        <w:rPr>
          <w:rFonts w:ascii="宋体" w:hAnsi="宋体"/>
          <w:sz w:val="24"/>
        </w:rPr>
      </w:pPr>
      <w:r>
        <w:rPr>
          <w:rFonts w:hint="eastAsia" w:ascii="宋体" w:hAnsi="宋体"/>
          <w:sz w:val="24"/>
        </w:rPr>
        <w:t>本项目</w:t>
      </w:r>
      <w:r>
        <w:rPr>
          <w:rFonts w:ascii="宋体" w:hAnsi="宋体"/>
          <w:sz w:val="24"/>
        </w:rPr>
        <w:t>非专门面向中小企业</w:t>
      </w:r>
      <w:r>
        <w:rPr>
          <w:rFonts w:hint="eastAsia" w:ascii="宋体" w:hAnsi="宋体"/>
          <w:sz w:val="24"/>
        </w:rPr>
        <w:t>。</w:t>
      </w:r>
      <w:r>
        <w:rPr>
          <w:rFonts w:ascii="宋体" w:hAnsi="宋体"/>
          <w:sz w:val="24"/>
        </w:rPr>
        <w:t>根据《政府采购促进中小企业发展管理办法》（财库〔2020〕46号）及《关于进一步加大政府采购支持中小企业力度的通知》（财库〔2022〕19号）的规定，对</w:t>
      </w:r>
      <w:r>
        <w:rPr>
          <w:rFonts w:hint="eastAsia" w:ascii="宋体" w:hAnsi="宋体"/>
          <w:sz w:val="24"/>
        </w:rPr>
        <w:t>符合</w:t>
      </w:r>
      <w:r>
        <w:rPr>
          <w:rFonts w:ascii="宋体" w:hAnsi="宋体"/>
          <w:sz w:val="24"/>
        </w:rPr>
        <w:t>全部货物由小微企业制造的供应商，给予报价20% 的价格扣除，用扣除后的价格参与评审</w:t>
      </w:r>
      <w:r>
        <w:rPr>
          <w:rFonts w:hint="eastAsia" w:ascii="宋体" w:hAnsi="宋体"/>
          <w:sz w:val="24"/>
        </w:rPr>
        <w:t>。</w:t>
      </w:r>
    </w:p>
    <w:p w14:paraId="01A198A3">
      <w:pPr>
        <w:spacing w:line="360" w:lineRule="auto"/>
        <w:ind w:firstLine="480" w:firstLineChars="200"/>
        <w:rPr>
          <w:rFonts w:hint="eastAsia" w:ascii="宋体" w:hAnsi="宋体"/>
          <w:sz w:val="24"/>
        </w:rPr>
      </w:pPr>
      <w:r>
        <w:rPr>
          <w:rFonts w:hint="eastAsia" w:ascii="宋体" w:hAnsi="宋体"/>
          <w:sz w:val="24"/>
        </w:rPr>
        <w:t>投标人须同时满足以下资格条件：</w:t>
      </w:r>
    </w:p>
    <w:p w14:paraId="5860159D">
      <w:pPr>
        <w:spacing w:line="360" w:lineRule="auto"/>
        <w:ind w:firstLine="480" w:firstLineChars="200"/>
        <w:rPr>
          <w:rFonts w:hint="eastAsia" w:ascii="宋体" w:hAnsi="宋体"/>
          <w:sz w:val="24"/>
        </w:rPr>
      </w:pPr>
      <w:r>
        <w:rPr>
          <w:rFonts w:hint="eastAsia" w:ascii="宋体" w:hAnsi="宋体"/>
          <w:sz w:val="24"/>
        </w:rPr>
        <w:t>（一）根据现行法律法规的要求，设置供应商投标的特定资格条件。</w:t>
      </w:r>
    </w:p>
    <w:p w14:paraId="0B845F92">
      <w:pPr>
        <w:spacing w:line="360" w:lineRule="auto"/>
        <w:ind w:firstLine="480" w:firstLineChars="200"/>
        <w:rPr>
          <w:sz w:val="24"/>
        </w:rPr>
      </w:pPr>
      <w:r>
        <w:rPr>
          <w:rFonts w:hint="eastAsia"/>
          <w:sz w:val="24"/>
        </w:rPr>
        <w:t>（二）投标人须具</w:t>
      </w:r>
      <w:bookmarkStart w:id="0" w:name="OLE_LINK57"/>
      <w:bookmarkStart w:id="1" w:name="OLE_LINK58"/>
      <w:r>
        <w:rPr>
          <w:rFonts w:hint="eastAsia"/>
          <w:sz w:val="24"/>
        </w:rPr>
        <w:t>备《中华人民共和国政府采购法》第二十二条第一款规</w:t>
      </w:r>
      <w:bookmarkEnd w:id="0"/>
      <w:bookmarkEnd w:id="1"/>
      <w:r>
        <w:rPr>
          <w:rFonts w:hint="eastAsia"/>
          <w:sz w:val="24"/>
        </w:rPr>
        <w:t>定的条件。</w:t>
      </w:r>
    </w:p>
    <w:p w14:paraId="4076A8DF">
      <w:pPr>
        <w:spacing w:line="360" w:lineRule="auto"/>
        <w:ind w:firstLine="480" w:firstLineChars="200"/>
        <w:rPr>
          <w:rFonts w:hint="eastAsia" w:ascii="宋体" w:hAnsi="宋体"/>
          <w:b/>
          <w:sz w:val="24"/>
        </w:rPr>
      </w:pPr>
      <w:r>
        <w:rPr>
          <w:rFonts w:hint="eastAsia"/>
          <w:sz w:val="24"/>
        </w:rPr>
        <w:t>（三）本项目不接受联合体。</w:t>
      </w:r>
    </w:p>
    <w:p w14:paraId="382C0026">
      <w:pPr>
        <w:spacing w:line="360" w:lineRule="auto"/>
        <w:ind w:firstLine="482" w:firstLineChars="200"/>
        <w:rPr>
          <w:rFonts w:hint="eastAsia" w:ascii="宋体" w:hAnsi="宋体"/>
          <w:b/>
          <w:sz w:val="24"/>
        </w:rPr>
      </w:pPr>
      <w:r>
        <w:rPr>
          <w:rFonts w:hint="eastAsia" w:ascii="宋体" w:hAnsi="宋体"/>
          <w:b/>
          <w:sz w:val="24"/>
        </w:rPr>
        <w:t>四、技术要求</w:t>
      </w:r>
    </w:p>
    <w:tbl>
      <w:tblPr>
        <w:tblStyle w:val="15"/>
        <w:tblW w:w="52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
        <w:gridCol w:w="941"/>
        <w:gridCol w:w="6381"/>
        <w:gridCol w:w="691"/>
        <w:gridCol w:w="449"/>
      </w:tblGrid>
      <w:tr w14:paraId="1C93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 w:type="pct"/>
            <w:vAlign w:val="center"/>
          </w:tcPr>
          <w:p w14:paraId="1724D87D">
            <w:pPr>
              <w:jc w:val="center"/>
              <w:rPr>
                <w:szCs w:val="21"/>
              </w:rPr>
            </w:pPr>
            <w:r>
              <w:rPr>
                <w:szCs w:val="21"/>
              </w:rPr>
              <w:t>序号</w:t>
            </w:r>
          </w:p>
        </w:tc>
        <w:tc>
          <w:tcPr>
            <w:tcW w:w="528" w:type="pct"/>
            <w:vAlign w:val="center"/>
          </w:tcPr>
          <w:p w14:paraId="24B5A682">
            <w:pPr>
              <w:jc w:val="center"/>
              <w:rPr>
                <w:szCs w:val="21"/>
              </w:rPr>
            </w:pPr>
            <w:r>
              <w:rPr>
                <w:rFonts w:hint="eastAsia"/>
                <w:szCs w:val="21"/>
              </w:rPr>
              <w:t>标的</w:t>
            </w:r>
            <w:r>
              <w:rPr>
                <w:szCs w:val="21"/>
              </w:rPr>
              <w:t>名称</w:t>
            </w:r>
          </w:p>
        </w:tc>
        <w:tc>
          <w:tcPr>
            <w:tcW w:w="3581" w:type="pct"/>
            <w:vAlign w:val="center"/>
          </w:tcPr>
          <w:p w14:paraId="4F4D2AD5">
            <w:pPr>
              <w:jc w:val="center"/>
              <w:rPr>
                <w:szCs w:val="21"/>
              </w:rPr>
            </w:pPr>
            <w:r>
              <w:rPr>
                <w:szCs w:val="21"/>
              </w:rPr>
              <w:t>技术要求</w:t>
            </w:r>
          </w:p>
        </w:tc>
        <w:tc>
          <w:tcPr>
            <w:tcW w:w="388" w:type="pct"/>
            <w:vAlign w:val="center"/>
          </w:tcPr>
          <w:p w14:paraId="2C1C8E7E">
            <w:pPr>
              <w:jc w:val="center"/>
              <w:rPr>
                <w:szCs w:val="21"/>
              </w:rPr>
            </w:pPr>
            <w:r>
              <w:rPr>
                <w:szCs w:val="21"/>
              </w:rPr>
              <w:t>单位</w:t>
            </w:r>
          </w:p>
        </w:tc>
        <w:tc>
          <w:tcPr>
            <w:tcW w:w="252" w:type="pct"/>
            <w:vAlign w:val="center"/>
          </w:tcPr>
          <w:p w14:paraId="4888B333">
            <w:pPr>
              <w:jc w:val="center"/>
              <w:rPr>
                <w:szCs w:val="21"/>
              </w:rPr>
            </w:pPr>
            <w:r>
              <w:rPr>
                <w:szCs w:val="21"/>
              </w:rPr>
              <w:t>数量</w:t>
            </w:r>
          </w:p>
        </w:tc>
      </w:tr>
      <w:tr w14:paraId="4017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 w:type="pct"/>
            <w:vAlign w:val="center"/>
          </w:tcPr>
          <w:p w14:paraId="5F3EC20C">
            <w:pPr>
              <w:jc w:val="center"/>
              <w:rPr>
                <w:szCs w:val="21"/>
              </w:rPr>
            </w:pPr>
            <w:r>
              <w:rPr>
                <w:rFonts w:hint="eastAsia"/>
                <w:szCs w:val="21"/>
              </w:rPr>
              <w:t>1</w:t>
            </w:r>
          </w:p>
        </w:tc>
        <w:tc>
          <w:tcPr>
            <w:tcW w:w="528" w:type="pct"/>
            <w:vAlign w:val="center"/>
          </w:tcPr>
          <w:p w14:paraId="2D0ABED0">
            <w:pPr>
              <w:jc w:val="center"/>
              <w:rPr>
                <w:szCs w:val="21"/>
              </w:rPr>
            </w:pPr>
            <w:r>
              <w:rPr>
                <w:szCs w:val="21"/>
              </w:rPr>
              <w:t>▲</w:t>
            </w:r>
            <w:r>
              <w:rPr>
                <w:rFonts w:hint="eastAsia"/>
                <w:szCs w:val="21"/>
              </w:rPr>
              <w:t>协同办公系统（OA）</w:t>
            </w:r>
          </w:p>
        </w:tc>
        <w:tc>
          <w:tcPr>
            <w:tcW w:w="3581" w:type="pct"/>
            <w:vAlign w:val="center"/>
          </w:tcPr>
          <w:p w14:paraId="1E466900">
            <w:pPr>
              <w:tabs>
                <w:tab w:val="left" w:pos="360"/>
                <w:tab w:val="left" w:pos="540"/>
              </w:tabs>
              <w:spacing w:line="360" w:lineRule="auto"/>
              <w:rPr>
                <w:szCs w:val="21"/>
              </w:rPr>
            </w:pPr>
            <w:r>
              <w:rPr>
                <w:rFonts w:hint="eastAsia"/>
                <w:szCs w:val="21"/>
              </w:rPr>
              <w:t>一、核心业务功能需求</w:t>
            </w:r>
          </w:p>
          <w:p w14:paraId="3751C775">
            <w:pPr>
              <w:tabs>
                <w:tab w:val="left" w:pos="360"/>
                <w:tab w:val="left" w:pos="540"/>
              </w:tabs>
              <w:spacing w:line="360" w:lineRule="auto"/>
              <w:rPr>
                <w:szCs w:val="21"/>
              </w:rPr>
            </w:pPr>
            <w:r>
              <w:rPr>
                <w:rFonts w:hint="eastAsia"/>
                <w:szCs w:val="21"/>
              </w:rPr>
              <w:t>1. 基础组织</w:t>
            </w:r>
          </w:p>
          <w:p w14:paraId="4E3A1755">
            <w:pPr>
              <w:tabs>
                <w:tab w:val="left" w:pos="360"/>
                <w:tab w:val="left" w:pos="540"/>
              </w:tabs>
              <w:spacing w:line="360" w:lineRule="auto"/>
              <w:rPr>
                <w:szCs w:val="21"/>
              </w:rPr>
            </w:pPr>
            <w:r>
              <w:rPr>
                <w:rFonts w:hint="eastAsia"/>
                <w:szCs w:val="21"/>
              </w:rPr>
              <w:t>建立全校统一的组织，支持构建多维度组织结构、岗位职级体系及上下级汇报关系，为全场景协同办公提供标准化基础数据支撑。</w:t>
            </w:r>
          </w:p>
          <w:p w14:paraId="30CE23AF">
            <w:pPr>
              <w:tabs>
                <w:tab w:val="left" w:pos="360"/>
                <w:tab w:val="left" w:pos="540"/>
              </w:tabs>
              <w:spacing w:line="360" w:lineRule="auto"/>
              <w:rPr>
                <w:szCs w:val="21"/>
              </w:rPr>
            </w:pPr>
            <w:r>
              <w:rPr>
                <w:rFonts w:hint="eastAsia"/>
                <w:szCs w:val="21"/>
              </w:rPr>
              <w:t>组织管理：支持组织新增、修改、停用等全量操作，支持组织属性自定义与多维度组织架构搭建，支持虚拟组织与一人多岗配置；提供组织矩阵管理能力，可通过矩阵维护临时组织、灵活调整审批权限。</w:t>
            </w:r>
          </w:p>
          <w:p w14:paraId="524A3D8B">
            <w:pPr>
              <w:tabs>
                <w:tab w:val="left" w:pos="360"/>
                <w:tab w:val="left" w:pos="540"/>
              </w:tabs>
              <w:spacing w:line="360" w:lineRule="auto"/>
              <w:rPr>
                <w:szCs w:val="21"/>
              </w:rPr>
            </w:pPr>
            <w:r>
              <w:rPr>
                <w:rFonts w:hint="eastAsia"/>
                <w:szCs w:val="21"/>
              </w:rPr>
              <w:t>2. 统一门户管理</w:t>
            </w:r>
          </w:p>
          <w:p w14:paraId="5367C4E4">
            <w:pPr>
              <w:tabs>
                <w:tab w:val="left" w:pos="360"/>
                <w:tab w:val="left" w:pos="540"/>
              </w:tabs>
              <w:spacing w:line="360" w:lineRule="auto"/>
              <w:rPr>
                <w:szCs w:val="21"/>
              </w:rPr>
            </w:pPr>
            <w:r>
              <w:rPr>
                <w:rFonts w:hint="eastAsia"/>
                <w:szCs w:val="21"/>
              </w:rPr>
              <w:t>基于全校统一权限管控体系，实现多元化信息与应用的集中展示、分级发布与个性化定制，覆盖多级门户场景，支持按角色、岗位、部门配置差异化内容与访问权限。</w:t>
            </w:r>
          </w:p>
          <w:p w14:paraId="0E43D649">
            <w:pPr>
              <w:tabs>
                <w:tab w:val="left" w:pos="360"/>
                <w:tab w:val="left" w:pos="540"/>
              </w:tabs>
              <w:spacing w:line="360" w:lineRule="auto"/>
              <w:rPr>
                <w:szCs w:val="21"/>
              </w:rPr>
            </w:pPr>
            <w:r>
              <w:rPr>
                <w:rFonts w:hint="eastAsia"/>
                <w:szCs w:val="21"/>
              </w:rPr>
              <w:t>多级门户体系：须覆盖学校综合门户、专题业务门户、管理者专属门户、部门门户、个人门户、移动门户。</w:t>
            </w:r>
          </w:p>
          <w:p w14:paraId="10E06598">
            <w:pPr>
              <w:tabs>
                <w:tab w:val="left" w:pos="360"/>
                <w:tab w:val="left" w:pos="540"/>
              </w:tabs>
              <w:spacing w:line="360" w:lineRule="auto"/>
              <w:rPr>
                <w:szCs w:val="21"/>
              </w:rPr>
            </w:pPr>
            <w:r>
              <w:rPr>
                <w:rFonts w:hint="eastAsia"/>
                <w:szCs w:val="21"/>
              </w:rPr>
              <w:t>信息发布管理：建立统一信息目录体系，支持分级定制信息栏目；提供统一信息发布与审核界面。</w:t>
            </w:r>
          </w:p>
          <w:p w14:paraId="58115FB8">
            <w:pPr>
              <w:tabs>
                <w:tab w:val="left" w:pos="360"/>
                <w:tab w:val="left" w:pos="540"/>
              </w:tabs>
              <w:spacing w:line="360" w:lineRule="auto"/>
              <w:rPr>
                <w:szCs w:val="21"/>
              </w:rPr>
            </w:pPr>
            <w:r>
              <w:rPr>
                <w:rFonts w:hint="eastAsia"/>
                <w:szCs w:val="21"/>
              </w:rPr>
              <w:t>无代码个性化定制：支持通过可视化配置自定义门户布局、风格模板、内容组件与使用方式；支持基于角色、规则动态配置界面与权限，适配不同岗位个性化工作场景。</w:t>
            </w:r>
          </w:p>
          <w:p w14:paraId="1BDACCEB">
            <w:pPr>
              <w:tabs>
                <w:tab w:val="left" w:pos="360"/>
                <w:tab w:val="left" w:pos="540"/>
              </w:tabs>
              <w:spacing w:line="360" w:lineRule="auto"/>
              <w:rPr>
                <w:szCs w:val="21"/>
              </w:rPr>
            </w:pPr>
            <w:r>
              <w:rPr>
                <w:rFonts w:hint="eastAsia"/>
                <w:szCs w:val="21"/>
              </w:rPr>
              <w:t>标准兼容性。</w:t>
            </w:r>
          </w:p>
          <w:p w14:paraId="01ABDDC5">
            <w:pPr>
              <w:tabs>
                <w:tab w:val="left" w:pos="360"/>
                <w:tab w:val="left" w:pos="540"/>
              </w:tabs>
              <w:spacing w:line="360" w:lineRule="auto"/>
              <w:rPr>
                <w:szCs w:val="21"/>
              </w:rPr>
            </w:pPr>
            <w:r>
              <w:rPr>
                <w:rFonts w:hint="eastAsia"/>
                <w:szCs w:val="21"/>
              </w:rPr>
              <w:t>3. 知识协作管理</w:t>
            </w:r>
          </w:p>
          <w:p w14:paraId="5F93CD59">
            <w:pPr>
              <w:tabs>
                <w:tab w:val="left" w:pos="360"/>
                <w:tab w:val="left" w:pos="540"/>
              </w:tabs>
              <w:spacing w:line="360" w:lineRule="auto"/>
              <w:rPr>
                <w:szCs w:val="21"/>
              </w:rPr>
            </w:pPr>
            <w:r>
              <w:rPr>
                <w:rFonts w:hint="eastAsia"/>
                <w:szCs w:val="21"/>
              </w:rPr>
              <w:t>搭建校内统一知识管理平台，覆盖知识归集、分类管理、权限管控、智能检索、更新迭代全流程运营体系，促进知识高效共享与复用，释放知识资产价值。</w:t>
            </w:r>
          </w:p>
          <w:p w14:paraId="3D93999A">
            <w:pPr>
              <w:tabs>
                <w:tab w:val="left" w:pos="360"/>
                <w:tab w:val="left" w:pos="540"/>
              </w:tabs>
              <w:spacing w:line="360" w:lineRule="auto"/>
              <w:rPr>
                <w:szCs w:val="21"/>
              </w:rPr>
            </w:pPr>
            <w:r>
              <w:rPr>
                <w:rFonts w:hint="eastAsia"/>
                <w:szCs w:val="21"/>
              </w:rPr>
              <w:t>多维度知识库：支持制度汇编、文档资料等分类知识库建设；数据来源支持流程自动归档与手动录入，可配置流程与栏目映射关系，办结文件自动归入对应知识库。</w:t>
            </w:r>
          </w:p>
          <w:p w14:paraId="2EADE94C">
            <w:pPr>
              <w:tabs>
                <w:tab w:val="left" w:pos="360"/>
                <w:tab w:val="left" w:pos="540"/>
              </w:tabs>
              <w:spacing w:line="360" w:lineRule="auto"/>
              <w:rPr>
                <w:szCs w:val="21"/>
              </w:rPr>
            </w:pPr>
            <w:r>
              <w:rPr>
                <w:rFonts w:hint="eastAsia"/>
                <w:szCs w:val="21"/>
              </w:rPr>
              <w:t>文档基础能力：支持 Word、Excel、PDF、图片等多格式文档在线预览，无需下载本地、无需安装插件；支持全文检索，可按标题、正文、附件内容、创建人、时间等多维度精准检索。</w:t>
            </w:r>
          </w:p>
          <w:p w14:paraId="045937C9">
            <w:pPr>
              <w:tabs>
                <w:tab w:val="left" w:pos="360"/>
                <w:tab w:val="left" w:pos="540"/>
              </w:tabs>
              <w:spacing w:line="360" w:lineRule="auto"/>
              <w:rPr>
                <w:szCs w:val="21"/>
              </w:rPr>
            </w:pPr>
            <w:r>
              <w:rPr>
                <w:rFonts w:hint="eastAsia"/>
                <w:szCs w:val="21"/>
              </w:rPr>
              <w:t>安全管控能力：支持文档正文防篡改校验，支持动态水印加载，支持复制、下载、打印权限精细化管控；提供文档借阅、操作留痕与历史版本追溯能力。</w:t>
            </w:r>
          </w:p>
          <w:p w14:paraId="125A97B6">
            <w:pPr>
              <w:tabs>
                <w:tab w:val="left" w:pos="360"/>
                <w:tab w:val="left" w:pos="540"/>
              </w:tabs>
              <w:spacing w:line="360" w:lineRule="auto"/>
              <w:rPr>
                <w:szCs w:val="21"/>
              </w:rPr>
            </w:pPr>
            <w:r>
              <w:rPr>
                <w:rFonts w:hint="eastAsia"/>
                <w:szCs w:val="21"/>
              </w:rPr>
              <w:t>4. 工作流程管理</w:t>
            </w:r>
          </w:p>
          <w:p w14:paraId="6923574D">
            <w:pPr>
              <w:tabs>
                <w:tab w:val="left" w:pos="360"/>
                <w:tab w:val="left" w:pos="540"/>
              </w:tabs>
              <w:spacing w:line="360" w:lineRule="auto"/>
              <w:rPr>
                <w:szCs w:val="21"/>
              </w:rPr>
            </w:pPr>
            <w:r>
              <w:rPr>
                <w:rFonts w:hint="eastAsia"/>
                <w:szCs w:val="21"/>
              </w:rPr>
              <w:t>支撑校内行政办公、事务审批、业务流转全流程线上化闭环管理。平台配备独立流程引擎，支持图形化拖拽设计、灵活审批路径定义、表单数据联动与复杂业务规则配置。</w:t>
            </w:r>
          </w:p>
          <w:p w14:paraId="2286EB70">
            <w:pPr>
              <w:tabs>
                <w:tab w:val="left" w:pos="360"/>
                <w:tab w:val="left" w:pos="540"/>
              </w:tabs>
              <w:spacing w:line="360" w:lineRule="auto"/>
              <w:rPr>
                <w:szCs w:val="21"/>
              </w:rPr>
            </w:pPr>
            <w:r>
              <w:rPr>
                <w:rFonts w:hint="eastAsia"/>
                <w:szCs w:val="21"/>
              </w:rPr>
              <w:t>4.1 流程定义与设计</w:t>
            </w:r>
          </w:p>
          <w:p w14:paraId="142FBC02">
            <w:pPr>
              <w:tabs>
                <w:tab w:val="left" w:pos="360"/>
                <w:tab w:val="left" w:pos="540"/>
              </w:tabs>
              <w:spacing w:line="360" w:lineRule="auto"/>
              <w:rPr>
                <w:szCs w:val="21"/>
              </w:rPr>
            </w:pPr>
            <w:r>
              <w:rPr>
                <w:rFonts w:hint="eastAsia"/>
                <w:szCs w:val="21"/>
              </w:rPr>
              <w:t>提供图形化拖拽式流程建模工具，支持直通、分流、条件流转、串签、并签、自由流程等多种流转模式；支持条件分支自动跳转，可基于表单字段、申请人信息、审批信息等配置分支规则。</w:t>
            </w:r>
          </w:p>
          <w:p w14:paraId="68DF5F5C">
            <w:pPr>
              <w:tabs>
                <w:tab w:val="left" w:pos="360"/>
                <w:tab w:val="left" w:pos="540"/>
              </w:tabs>
              <w:spacing w:line="360" w:lineRule="auto"/>
              <w:rPr>
                <w:szCs w:val="21"/>
              </w:rPr>
            </w:pPr>
            <w:r>
              <w:rPr>
                <w:rFonts w:hint="eastAsia"/>
                <w:szCs w:val="21"/>
              </w:rPr>
              <w:t>支持流程与流程、流程与文档、流程与日程/人员的跨场景关联联动，实现业务数据互通共享；支持主流程触发子流程，可配置流程节点触发、流程结束触发等多种触发模式。</w:t>
            </w:r>
          </w:p>
          <w:p w14:paraId="4B240C77">
            <w:pPr>
              <w:tabs>
                <w:tab w:val="left" w:pos="360"/>
                <w:tab w:val="left" w:pos="540"/>
              </w:tabs>
              <w:spacing w:line="360" w:lineRule="auto"/>
              <w:rPr>
                <w:szCs w:val="21"/>
              </w:rPr>
            </w:pPr>
            <w:r>
              <w:rPr>
                <w:rFonts w:hint="eastAsia"/>
                <w:szCs w:val="21"/>
              </w:rPr>
              <w:t>支持流程节点超时自动提醒，支持节点入/出时触发预设外部动作；支持流程打印模板自定义，可按要求转换格式输出打印。</w:t>
            </w:r>
          </w:p>
          <w:p w14:paraId="3A29AB47">
            <w:pPr>
              <w:tabs>
                <w:tab w:val="left" w:pos="360"/>
                <w:tab w:val="left" w:pos="540"/>
              </w:tabs>
              <w:spacing w:line="360" w:lineRule="auto"/>
              <w:rPr>
                <w:szCs w:val="21"/>
              </w:rPr>
            </w:pPr>
            <w:r>
              <w:rPr>
                <w:rFonts w:hint="eastAsia"/>
                <w:szCs w:val="21"/>
              </w:rPr>
              <w:t>提供流程模拟测试与规则自动校验能力，未发布流程可模拟运行，自动校验规则合规性。</w:t>
            </w:r>
          </w:p>
          <w:p w14:paraId="75A37C48">
            <w:pPr>
              <w:tabs>
                <w:tab w:val="left" w:pos="360"/>
                <w:tab w:val="left" w:pos="540"/>
              </w:tabs>
              <w:spacing w:line="360" w:lineRule="auto"/>
              <w:rPr>
                <w:szCs w:val="21"/>
              </w:rPr>
            </w:pPr>
            <w:r>
              <w:rPr>
                <w:rFonts w:hint="eastAsia"/>
                <w:szCs w:val="21"/>
              </w:rPr>
              <w:t>4.2 流程处理能力</w:t>
            </w:r>
          </w:p>
          <w:p w14:paraId="0F7AF41D">
            <w:pPr>
              <w:tabs>
                <w:tab w:val="left" w:pos="360"/>
                <w:tab w:val="left" w:pos="540"/>
              </w:tabs>
              <w:spacing w:line="360" w:lineRule="auto"/>
              <w:rPr>
                <w:szCs w:val="21"/>
              </w:rPr>
            </w:pPr>
            <w:r>
              <w:rPr>
                <w:rFonts w:hint="eastAsia"/>
                <w:szCs w:val="21"/>
              </w:rPr>
              <w:t>完整覆盖流程发起、待办/知会/已办/办结管理、全程跟踪、转发委托、分类代理、督办、查询、撤回、退回、强制归档等全场景操作。</w:t>
            </w:r>
          </w:p>
          <w:p w14:paraId="40D46822">
            <w:pPr>
              <w:tabs>
                <w:tab w:val="left" w:pos="360"/>
                <w:tab w:val="left" w:pos="540"/>
              </w:tabs>
              <w:spacing w:line="360" w:lineRule="auto"/>
              <w:rPr>
                <w:szCs w:val="21"/>
              </w:rPr>
            </w:pPr>
            <w:r>
              <w:rPr>
                <w:rFonts w:hint="eastAsia"/>
                <w:szCs w:val="21"/>
              </w:rPr>
              <w:t>支持流程抄送与转发，抄送可配置是否需提交意见；支持流程代理授权，可按时间段设置代理范围，支持代理提醒与取消。</w:t>
            </w:r>
          </w:p>
          <w:p w14:paraId="78DA681C">
            <w:pPr>
              <w:tabs>
                <w:tab w:val="left" w:pos="360"/>
                <w:tab w:val="left" w:pos="540"/>
              </w:tabs>
              <w:spacing w:line="360" w:lineRule="auto"/>
              <w:rPr>
                <w:szCs w:val="21"/>
              </w:rPr>
            </w:pPr>
            <w:r>
              <w:rPr>
                <w:rFonts w:hint="eastAsia"/>
                <w:szCs w:val="21"/>
              </w:rPr>
              <w:t>支持并发分支、循环审核、跨组织跨单位流转、合并审批等复杂流转场景。</w:t>
            </w:r>
          </w:p>
          <w:p w14:paraId="7E3C614A">
            <w:pPr>
              <w:tabs>
                <w:tab w:val="left" w:pos="360"/>
                <w:tab w:val="left" w:pos="540"/>
              </w:tabs>
              <w:spacing w:line="360" w:lineRule="auto"/>
              <w:rPr>
                <w:szCs w:val="21"/>
              </w:rPr>
            </w:pPr>
            <w:r>
              <w:rPr>
                <w:rFonts w:hint="eastAsia"/>
                <w:szCs w:val="21"/>
              </w:rPr>
              <w:t>4.3 会签专项能力</w:t>
            </w:r>
          </w:p>
          <w:p w14:paraId="37F24A72">
            <w:pPr>
              <w:tabs>
                <w:tab w:val="left" w:pos="360"/>
                <w:tab w:val="left" w:pos="540"/>
              </w:tabs>
              <w:spacing w:line="360" w:lineRule="auto"/>
              <w:rPr>
                <w:szCs w:val="21"/>
              </w:rPr>
            </w:pPr>
            <w:r>
              <w:rPr>
                <w:rFonts w:hint="eastAsia"/>
                <w:szCs w:val="21"/>
              </w:rPr>
              <w:t>支持无限层级会签；支持自上而下、自下而上双向会签审核。</w:t>
            </w:r>
          </w:p>
          <w:p w14:paraId="707AEA5C">
            <w:pPr>
              <w:tabs>
                <w:tab w:val="left" w:pos="360"/>
                <w:tab w:val="left" w:pos="540"/>
              </w:tabs>
              <w:spacing w:line="360" w:lineRule="auto"/>
              <w:rPr>
                <w:szCs w:val="21"/>
              </w:rPr>
            </w:pPr>
            <w:r>
              <w:rPr>
                <w:rFonts w:hint="eastAsia"/>
                <w:szCs w:val="21"/>
              </w:rPr>
              <w:t>支持会签意见归类合并，可配置部门出前意见灵活调整、仅展示最终会签意见；会签过程与意见全程留痕、可追溯。</w:t>
            </w:r>
          </w:p>
          <w:p w14:paraId="504F9714">
            <w:pPr>
              <w:tabs>
                <w:tab w:val="left" w:pos="360"/>
                <w:tab w:val="left" w:pos="540"/>
              </w:tabs>
              <w:spacing w:line="360" w:lineRule="auto"/>
              <w:rPr>
                <w:szCs w:val="21"/>
              </w:rPr>
            </w:pPr>
            <w:r>
              <w:rPr>
                <w:rFonts w:hint="eastAsia"/>
                <w:szCs w:val="21"/>
              </w:rPr>
              <w:t>4.4 权限与监控</w:t>
            </w:r>
          </w:p>
          <w:p w14:paraId="0C94C81C">
            <w:pPr>
              <w:tabs>
                <w:tab w:val="left" w:pos="360"/>
                <w:tab w:val="left" w:pos="540"/>
              </w:tabs>
              <w:spacing w:line="360" w:lineRule="auto"/>
              <w:rPr>
                <w:szCs w:val="21"/>
              </w:rPr>
            </w:pPr>
            <w:r>
              <w:rPr>
                <w:rFonts w:hint="eastAsia"/>
                <w:szCs w:val="21"/>
              </w:rPr>
              <w:t>支持字段级权限管控，同一流程内不同处理者可配置差异化的字段查看、编辑、隐藏权限。</w:t>
            </w:r>
          </w:p>
          <w:p w14:paraId="7AB1B7A8">
            <w:pPr>
              <w:tabs>
                <w:tab w:val="left" w:pos="360"/>
                <w:tab w:val="left" w:pos="540"/>
              </w:tabs>
              <w:spacing w:line="360" w:lineRule="auto"/>
              <w:rPr>
                <w:szCs w:val="21"/>
              </w:rPr>
            </w:pPr>
            <w:r>
              <w:rPr>
                <w:rFonts w:hint="eastAsia"/>
                <w:szCs w:val="21"/>
              </w:rPr>
              <w:t>提供图形化流程监控，实时展示流程走向、节点处理人、处理时长与状态；支持异常流程预警与人工干预，可处理离职人员挂起、无处理人等异常场景。</w:t>
            </w:r>
          </w:p>
          <w:p w14:paraId="1D88C59E">
            <w:pPr>
              <w:tabs>
                <w:tab w:val="left" w:pos="360"/>
                <w:tab w:val="left" w:pos="540"/>
              </w:tabs>
              <w:spacing w:line="360" w:lineRule="auto"/>
              <w:rPr>
                <w:szCs w:val="21"/>
              </w:rPr>
            </w:pPr>
            <w:r>
              <w:rPr>
                <w:rFonts w:hint="eastAsia"/>
                <w:szCs w:val="21"/>
              </w:rPr>
              <w:t>4.5 效率分析与报表</w:t>
            </w:r>
          </w:p>
          <w:p w14:paraId="322CFC93">
            <w:pPr>
              <w:tabs>
                <w:tab w:val="left" w:pos="360"/>
                <w:tab w:val="left" w:pos="540"/>
              </w:tabs>
              <w:spacing w:line="360" w:lineRule="auto"/>
              <w:rPr>
                <w:szCs w:val="21"/>
              </w:rPr>
            </w:pPr>
            <w:r>
              <w:rPr>
                <w:rFonts w:hint="eastAsia"/>
                <w:szCs w:val="21"/>
              </w:rPr>
              <w:t>提供多维度流程效率统计：支持任务平均办结周期、个人办理时长、超期任务、办理量、办理质量等分析。</w:t>
            </w:r>
          </w:p>
          <w:p w14:paraId="1908D9BC">
            <w:pPr>
              <w:tabs>
                <w:tab w:val="left" w:pos="360"/>
                <w:tab w:val="left" w:pos="540"/>
              </w:tabs>
              <w:spacing w:line="360" w:lineRule="auto"/>
              <w:rPr>
                <w:szCs w:val="21"/>
              </w:rPr>
            </w:pPr>
            <w:r>
              <w:rPr>
                <w:rFonts w:hint="eastAsia"/>
                <w:szCs w:val="21"/>
              </w:rPr>
              <w:t>支持组织维度与流程维度双向统计。</w:t>
            </w:r>
          </w:p>
          <w:p w14:paraId="0934C8BD">
            <w:pPr>
              <w:tabs>
                <w:tab w:val="left" w:pos="360"/>
                <w:tab w:val="left" w:pos="540"/>
              </w:tabs>
              <w:spacing w:line="360" w:lineRule="auto"/>
              <w:rPr>
                <w:szCs w:val="21"/>
              </w:rPr>
            </w:pPr>
            <w:r>
              <w:rPr>
                <w:rFonts w:hint="eastAsia"/>
                <w:szCs w:val="21"/>
              </w:rPr>
              <w:t>支持流程数据自定义报表生成，可按字段查询、导出 Excel。</w:t>
            </w:r>
          </w:p>
          <w:p w14:paraId="0021CB52">
            <w:pPr>
              <w:tabs>
                <w:tab w:val="left" w:pos="360"/>
                <w:tab w:val="left" w:pos="540"/>
              </w:tabs>
              <w:spacing w:line="360" w:lineRule="auto"/>
              <w:rPr>
                <w:szCs w:val="21"/>
              </w:rPr>
            </w:pPr>
            <w:r>
              <w:rPr>
                <w:rFonts w:hint="eastAsia"/>
                <w:szCs w:val="21"/>
              </w:rPr>
              <w:t>4.6 量化服务要求</w:t>
            </w:r>
          </w:p>
          <w:p w14:paraId="018E292F">
            <w:pPr>
              <w:tabs>
                <w:tab w:val="left" w:pos="360"/>
                <w:tab w:val="left" w:pos="540"/>
              </w:tabs>
              <w:spacing w:line="360" w:lineRule="auto"/>
              <w:rPr>
                <w:szCs w:val="21"/>
              </w:rPr>
            </w:pPr>
            <w:r>
              <w:rPr>
                <w:rFonts w:hint="eastAsia"/>
                <w:szCs w:val="21"/>
              </w:rPr>
              <w:t>项目建设期内完成≥30条学校核心业务流程配置上线，维保期内按需免费搭建覆盖全校各部门各业务场景的流程。</w:t>
            </w:r>
          </w:p>
          <w:p w14:paraId="3FE43077">
            <w:pPr>
              <w:tabs>
                <w:tab w:val="left" w:pos="360"/>
                <w:tab w:val="left" w:pos="540"/>
              </w:tabs>
              <w:spacing w:line="360" w:lineRule="auto"/>
              <w:rPr>
                <w:szCs w:val="21"/>
              </w:rPr>
            </w:pPr>
            <w:r>
              <w:rPr>
                <w:rFonts w:hint="eastAsia"/>
                <w:szCs w:val="21"/>
              </w:rPr>
              <w:t>5. 公文管理</w:t>
            </w:r>
          </w:p>
          <w:p w14:paraId="5B394FEA">
            <w:pPr>
              <w:tabs>
                <w:tab w:val="left" w:pos="360"/>
                <w:tab w:val="left" w:pos="540"/>
              </w:tabs>
              <w:spacing w:line="360" w:lineRule="auto"/>
              <w:rPr>
                <w:szCs w:val="21"/>
              </w:rPr>
            </w:pPr>
            <w:r>
              <w:rPr>
                <w:rFonts w:hint="eastAsia"/>
                <w:szCs w:val="21"/>
              </w:rPr>
              <w:t>实现公文收文、发文、流转、审批、催办督办、归档全流程自动化处理，提供全流程实时监控，全面覆盖国家法定公文格式与校内常用公文类型，实现收发文规范化、高效化管控。</w:t>
            </w:r>
          </w:p>
          <w:p w14:paraId="4E514CEB">
            <w:pPr>
              <w:tabs>
                <w:tab w:val="left" w:pos="360"/>
                <w:tab w:val="left" w:pos="540"/>
              </w:tabs>
              <w:spacing w:line="360" w:lineRule="auto"/>
              <w:rPr>
                <w:szCs w:val="21"/>
              </w:rPr>
            </w:pPr>
            <w:r>
              <w:rPr>
                <w:rFonts w:hint="eastAsia"/>
                <w:szCs w:val="21"/>
              </w:rPr>
              <w:t>全场景覆盖：支持发文、收文、签报、传阅、公文交换等全业务场景，覆盖 18 类法定公文格式；支持收文转发文、收文转公告、发文转公告等联动操作。</w:t>
            </w:r>
          </w:p>
          <w:p w14:paraId="0639F180">
            <w:pPr>
              <w:tabs>
                <w:tab w:val="left" w:pos="360"/>
                <w:tab w:val="left" w:pos="540"/>
              </w:tabs>
              <w:spacing w:line="360" w:lineRule="auto"/>
              <w:rPr>
                <w:szCs w:val="21"/>
              </w:rPr>
            </w:pPr>
            <w:r>
              <w:rPr>
                <w:rFonts w:hint="eastAsia"/>
                <w:szCs w:val="21"/>
              </w:rPr>
              <w:t>成文与审批：支持拟稿、审核、复核、会签、签发全流程审批；支持公文模板调用、正文套红、文单套红、手写批注、痕迹保留与清稿。</w:t>
            </w:r>
          </w:p>
          <w:p w14:paraId="121686CF">
            <w:pPr>
              <w:tabs>
                <w:tab w:val="left" w:pos="360"/>
                <w:tab w:val="left" w:pos="540"/>
              </w:tabs>
              <w:spacing w:line="360" w:lineRule="auto"/>
              <w:rPr>
                <w:szCs w:val="21"/>
              </w:rPr>
            </w:pPr>
            <w:r>
              <w:rPr>
                <w:rFonts w:hint="eastAsia"/>
                <w:szCs w:val="21"/>
              </w:rPr>
              <w:t>保密与归档：支持公文密级管理，精细化管控复制、下载、打印权限；支持电子公文自动归档。</w:t>
            </w:r>
          </w:p>
          <w:p w14:paraId="02A06F46">
            <w:pPr>
              <w:tabs>
                <w:tab w:val="left" w:pos="360"/>
                <w:tab w:val="left" w:pos="540"/>
              </w:tabs>
              <w:spacing w:line="360" w:lineRule="auto"/>
              <w:rPr>
                <w:szCs w:val="21"/>
              </w:rPr>
            </w:pPr>
            <w:r>
              <w:rPr>
                <w:rFonts w:hint="eastAsia"/>
                <w:szCs w:val="21"/>
              </w:rPr>
              <w:t>查询统计：支持多条件组合查询与权限管控，已归档公文按密级与参与范围控制访问；支持收发统计 Excel 导出。</w:t>
            </w:r>
          </w:p>
          <w:p w14:paraId="7CBC8A63">
            <w:pPr>
              <w:tabs>
                <w:tab w:val="left" w:pos="360"/>
                <w:tab w:val="left" w:pos="540"/>
              </w:tabs>
              <w:spacing w:line="360" w:lineRule="auto"/>
              <w:rPr>
                <w:szCs w:val="21"/>
              </w:rPr>
            </w:pPr>
            <w:r>
              <w:rPr>
                <w:rFonts w:hint="eastAsia"/>
                <w:szCs w:val="21"/>
              </w:rPr>
              <w:t>6. 移动办公应用</w:t>
            </w:r>
          </w:p>
          <w:p w14:paraId="7030F00C">
            <w:pPr>
              <w:tabs>
                <w:tab w:val="left" w:pos="360"/>
                <w:tab w:val="left" w:pos="540"/>
              </w:tabs>
              <w:spacing w:line="360" w:lineRule="auto"/>
              <w:rPr>
                <w:szCs w:val="21"/>
              </w:rPr>
            </w:pPr>
            <w:r>
              <w:rPr>
                <w:rFonts w:hint="eastAsia"/>
                <w:szCs w:val="21"/>
              </w:rPr>
              <w:t>建设全场景移动端办公应用，支持移动终端完成全量核心办公操作，全面适配iOS、Android、鸿蒙系统及平板设备，实现随时随地移动办公。</w:t>
            </w:r>
          </w:p>
          <w:p w14:paraId="4888E892">
            <w:pPr>
              <w:tabs>
                <w:tab w:val="left" w:pos="360"/>
                <w:tab w:val="left" w:pos="540"/>
              </w:tabs>
              <w:spacing w:line="360" w:lineRule="auto"/>
              <w:rPr>
                <w:szCs w:val="21"/>
              </w:rPr>
            </w:pPr>
            <w:r>
              <w:rPr>
                <w:rFonts w:hint="eastAsia"/>
                <w:szCs w:val="21"/>
              </w:rPr>
              <w:t>核心办公能力：支持待办审批、流程发起、业务跟踪、公文签批、新闻公告查看、通讯录查询、日程管理、会议管理、文档查阅等核心功能，数据与 PC 端实时同源同步。</w:t>
            </w:r>
          </w:p>
          <w:p w14:paraId="35F7E43F">
            <w:pPr>
              <w:tabs>
                <w:tab w:val="left" w:pos="360"/>
                <w:tab w:val="left" w:pos="540"/>
              </w:tabs>
              <w:spacing w:line="360" w:lineRule="auto"/>
              <w:rPr>
                <w:szCs w:val="21"/>
              </w:rPr>
            </w:pPr>
            <w:r>
              <w:rPr>
                <w:rFonts w:hint="eastAsia"/>
                <w:szCs w:val="21"/>
              </w:rPr>
              <w:t>移动安全：支持 VPN 接入配置，保障外网访问安全。</w:t>
            </w:r>
          </w:p>
          <w:p w14:paraId="69BB1D41">
            <w:pPr>
              <w:tabs>
                <w:tab w:val="left" w:pos="360"/>
                <w:tab w:val="left" w:pos="540"/>
              </w:tabs>
              <w:spacing w:line="360" w:lineRule="auto"/>
              <w:rPr>
                <w:szCs w:val="21"/>
              </w:rPr>
            </w:pPr>
            <w:r>
              <w:rPr>
                <w:rFonts w:hint="eastAsia"/>
                <w:szCs w:val="21"/>
              </w:rPr>
              <w:t>集成能力：支持与企业微信深度对接集成，实现账号互通、消息同步；支持 H5 方式集成第三方系统移动应用，支持热更新。</w:t>
            </w:r>
          </w:p>
          <w:p w14:paraId="3A4713AF">
            <w:pPr>
              <w:tabs>
                <w:tab w:val="left" w:pos="360"/>
                <w:tab w:val="left" w:pos="540"/>
              </w:tabs>
              <w:spacing w:line="360" w:lineRule="auto"/>
              <w:rPr>
                <w:szCs w:val="21"/>
              </w:rPr>
            </w:pPr>
            <w:r>
              <w:rPr>
                <w:rFonts w:hint="eastAsia"/>
                <w:szCs w:val="21"/>
              </w:rPr>
              <w:t>即时通讯：内置自主知识产权即时通讯工具，可与业务流程、文档深度联动。</w:t>
            </w:r>
          </w:p>
          <w:p w14:paraId="721AD2C8">
            <w:pPr>
              <w:tabs>
                <w:tab w:val="left" w:pos="360"/>
                <w:tab w:val="left" w:pos="540"/>
              </w:tabs>
              <w:spacing w:line="360" w:lineRule="auto"/>
              <w:rPr>
                <w:szCs w:val="21"/>
              </w:rPr>
            </w:pPr>
            <w:r>
              <w:rPr>
                <w:rFonts w:hint="eastAsia"/>
                <w:szCs w:val="21"/>
              </w:rPr>
              <w:t>扩展能力：提供移动搜索、移动报表、移动考勤、智能助理等扩展功能；支持移动门户可视化配置，按角色岗位个性化推送内容。</w:t>
            </w:r>
          </w:p>
          <w:p w14:paraId="7B6E485C">
            <w:pPr>
              <w:tabs>
                <w:tab w:val="left" w:pos="360"/>
                <w:tab w:val="left" w:pos="540"/>
              </w:tabs>
              <w:spacing w:line="360" w:lineRule="auto"/>
              <w:rPr>
                <w:szCs w:val="21"/>
              </w:rPr>
            </w:pPr>
            <w:r>
              <w:rPr>
                <w:rFonts w:hint="eastAsia"/>
                <w:szCs w:val="21"/>
              </w:rPr>
              <w:t>7. 会议管理</w:t>
            </w:r>
          </w:p>
          <w:p w14:paraId="487EE124">
            <w:pPr>
              <w:tabs>
                <w:tab w:val="left" w:pos="360"/>
                <w:tab w:val="left" w:pos="540"/>
              </w:tabs>
              <w:spacing w:line="360" w:lineRule="auto"/>
              <w:rPr>
                <w:szCs w:val="21"/>
              </w:rPr>
            </w:pPr>
            <w:r>
              <w:rPr>
                <w:rFonts w:hint="eastAsia"/>
                <w:szCs w:val="21"/>
              </w:rPr>
              <w:t>围绕会议全生命周期提供闭环管理，覆盖会议规划预约、会务资源管控、会议资料分发、会议决议督办及结果反馈全流程。</w:t>
            </w:r>
          </w:p>
          <w:p w14:paraId="271409D0">
            <w:pPr>
              <w:tabs>
                <w:tab w:val="left" w:pos="360"/>
                <w:tab w:val="left" w:pos="540"/>
              </w:tabs>
              <w:spacing w:line="360" w:lineRule="auto"/>
              <w:rPr>
                <w:szCs w:val="21"/>
              </w:rPr>
            </w:pPr>
            <w:r>
              <w:rPr>
                <w:rFonts w:hint="eastAsia"/>
                <w:szCs w:val="21"/>
              </w:rPr>
              <w:t>会议室管理：支持会议室信息维护、占用状态可视化展示、预约冲突自动校验；支持配套设备、会务人员预约配置。</w:t>
            </w:r>
          </w:p>
          <w:p w14:paraId="545C3B27">
            <w:pPr>
              <w:tabs>
                <w:tab w:val="left" w:pos="360"/>
                <w:tab w:val="left" w:pos="540"/>
              </w:tabs>
              <w:spacing w:line="360" w:lineRule="auto"/>
              <w:rPr>
                <w:szCs w:val="21"/>
              </w:rPr>
            </w:pPr>
            <w:r>
              <w:rPr>
                <w:rFonts w:hint="eastAsia"/>
                <w:szCs w:val="21"/>
              </w:rPr>
              <w:t>会议全流程：支持会议通知拟定、审核，支持参会回执、会议材料权限下发、会议纪要编写与审批归档。</w:t>
            </w:r>
          </w:p>
          <w:p w14:paraId="02A73042">
            <w:pPr>
              <w:tabs>
                <w:tab w:val="left" w:pos="360"/>
                <w:tab w:val="left" w:pos="540"/>
              </w:tabs>
              <w:spacing w:line="360" w:lineRule="auto"/>
              <w:rPr>
                <w:szCs w:val="21"/>
              </w:rPr>
            </w:pPr>
            <w:r>
              <w:rPr>
                <w:rFonts w:hint="eastAsia"/>
                <w:szCs w:val="21"/>
              </w:rPr>
              <w:t>决议督办：会议决议可直接生成督办任务，跟踪执行进度与反馈结果。</w:t>
            </w:r>
          </w:p>
          <w:p w14:paraId="2F91F7C2">
            <w:pPr>
              <w:tabs>
                <w:tab w:val="left" w:pos="360"/>
                <w:tab w:val="left" w:pos="540"/>
              </w:tabs>
              <w:spacing w:line="360" w:lineRule="auto"/>
              <w:rPr>
                <w:szCs w:val="21"/>
              </w:rPr>
            </w:pPr>
            <w:r>
              <w:rPr>
                <w:rFonts w:hint="eastAsia"/>
                <w:szCs w:val="21"/>
              </w:rPr>
              <w:t>8. 日程管理</w:t>
            </w:r>
          </w:p>
          <w:p w14:paraId="619FDE74">
            <w:pPr>
              <w:tabs>
                <w:tab w:val="left" w:pos="360"/>
                <w:tab w:val="left" w:pos="540"/>
              </w:tabs>
              <w:spacing w:line="360" w:lineRule="auto"/>
              <w:rPr>
                <w:szCs w:val="21"/>
              </w:rPr>
            </w:pPr>
            <w:r>
              <w:rPr>
                <w:rFonts w:hint="eastAsia"/>
                <w:szCs w:val="21"/>
              </w:rPr>
              <w:t>构建以时间维度为核心的工作管理体系，为各岗位提供专业化时间管理工具，实现工作安排标准化、高效化。</w:t>
            </w:r>
          </w:p>
          <w:p w14:paraId="1FD5EFD8">
            <w:pPr>
              <w:tabs>
                <w:tab w:val="left" w:pos="360"/>
                <w:tab w:val="left" w:pos="540"/>
              </w:tabs>
              <w:spacing w:line="360" w:lineRule="auto"/>
              <w:rPr>
                <w:szCs w:val="21"/>
              </w:rPr>
            </w:pPr>
            <w:r>
              <w:rPr>
                <w:rFonts w:hint="eastAsia"/>
                <w:szCs w:val="21"/>
              </w:rPr>
              <w:t>支持个人日程、部门日程、会议日程统一管理，支持日程授权共享与冲突校验。</w:t>
            </w:r>
          </w:p>
          <w:p w14:paraId="26C8D896">
            <w:pPr>
              <w:tabs>
                <w:tab w:val="left" w:pos="360"/>
                <w:tab w:val="left" w:pos="540"/>
              </w:tabs>
              <w:spacing w:line="360" w:lineRule="auto"/>
              <w:rPr>
                <w:szCs w:val="21"/>
              </w:rPr>
            </w:pPr>
            <w:r>
              <w:rPr>
                <w:rFonts w:hint="eastAsia"/>
                <w:szCs w:val="21"/>
              </w:rPr>
              <w:t>支持领导专属日程管理，可按日 / 周 / 月维度分类查看，支持关键词检索。</w:t>
            </w:r>
          </w:p>
          <w:p w14:paraId="0EB7EB26">
            <w:pPr>
              <w:tabs>
                <w:tab w:val="left" w:pos="360"/>
                <w:tab w:val="left" w:pos="540"/>
              </w:tabs>
              <w:spacing w:line="360" w:lineRule="auto"/>
              <w:rPr>
                <w:szCs w:val="21"/>
              </w:rPr>
            </w:pPr>
            <w:r>
              <w:rPr>
                <w:rFonts w:hint="eastAsia"/>
                <w:szCs w:val="21"/>
              </w:rPr>
              <w:t>支持会议预约自动同步至参会人日程，支持移动端与系统日程双向同步。</w:t>
            </w:r>
          </w:p>
          <w:p w14:paraId="18EEE269">
            <w:pPr>
              <w:tabs>
                <w:tab w:val="left" w:pos="360"/>
                <w:tab w:val="left" w:pos="540"/>
              </w:tabs>
              <w:spacing w:line="360" w:lineRule="auto"/>
              <w:rPr>
                <w:szCs w:val="21"/>
              </w:rPr>
            </w:pPr>
            <w:r>
              <w:rPr>
                <w:rFonts w:hint="eastAsia"/>
                <w:szCs w:val="21"/>
              </w:rPr>
              <w:t>9. 公告管理</w:t>
            </w:r>
          </w:p>
          <w:p w14:paraId="7922CEBC">
            <w:pPr>
              <w:tabs>
                <w:tab w:val="left" w:pos="360"/>
                <w:tab w:val="left" w:pos="540"/>
              </w:tabs>
              <w:spacing w:line="360" w:lineRule="auto"/>
              <w:rPr>
                <w:szCs w:val="21"/>
              </w:rPr>
            </w:pPr>
            <w:r>
              <w:rPr>
                <w:rFonts w:hint="eastAsia"/>
                <w:szCs w:val="21"/>
              </w:rPr>
              <w:t>建立校内信息实时上传下达、规范发布、公开披露与闭环反馈机制。</w:t>
            </w:r>
          </w:p>
          <w:p w14:paraId="39B1C696">
            <w:pPr>
              <w:tabs>
                <w:tab w:val="left" w:pos="360"/>
                <w:tab w:val="left" w:pos="540"/>
              </w:tabs>
              <w:spacing w:line="360" w:lineRule="auto"/>
              <w:rPr>
                <w:szCs w:val="21"/>
              </w:rPr>
            </w:pPr>
            <w:r>
              <w:rPr>
                <w:rFonts w:hint="eastAsia"/>
                <w:szCs w:val="21"/>
              </w:rPr>
              <w:t>支持按组织范围、角色权限定向发布，支持阅读确认与签收统计。</w:t>
            </w:r>
          </w:p>
          <w:p w14:paraId="5890E969">
            <w:pPr>
              <w:tabs>
                <w:tab w:val="left" w:pos="360"/>
                <w:tab w:val="left" w:pos="540"/>
              </w:tabs>
              <w:spacing w:line="360" w:lineRule="auto"/>
              <w:rPr>
                <w:szCs w:val="21"/>
              </w:rPr>
            </w:pPr>
            <w:r>
              <w:rPr>
                <w:rFonts w:hint="eastAsia"/>
                <w:szCs w:val="21"/>
              </w:rPr>
              <w:t>支持多级审核发布流程，支持重要公告置顶与时效设置，保障政令畅通、信息透明高效传达。</w:t>
            </w:r>
          </w:p>
          <w:p w14:paraId="5C48426F">
            <w:pPr>
              <w:tabs>
                <w:tab w:val="left" w:pos="360"/>
                <w:tab w:val="left" w:pos="540"/>
              </w:tabs>
              <w:spacing w:line="360" w:lineRule="auto"/>
              <w:rPr>
                <w:szCs w:val="21"/>
              </w:rPr>
            </w:pPr>
            <w:r>
              <w:rPr>
                <w:rFonts w:hint="eastAsia"/>
                <w:szCs w:val="21"/>
              </w:rPr>
              <w:t>10. 新闻管理</w:t>
            </w:r>
          </w:p>
          <w:p w14:paraId="683D7FCF">
            <w:pPr>
              <w:tabs>
                <w:tab w:val="left" w:pos="360"/>
                <w:tab w:val="left" w:pos="540"/>
              </w:tabs>
              <w:spacing w:line="360" w:lineRule="auto"/>
              <w:rPr>
                <w:szCs w:val="21"/>
              </w:rPr>
            </w:pPr>
            <w:r>
              <w:rPr>
                <w:rFonts w:hint="eastAsia"/>
                <w:szCs w:val="21"/>
              </w:rPr>
              <w:t>搭建校内新闻快速发布、分类展示、分享互动与反馈收集机制，强化校园文化宣导。</w:t>
            </w:r>
          </w:p>
          <w:p w14:paraId="1F562215">
            <w:pPr>
              <w:tabs>
                <w:tab w:val="left" w:pos="360"/>
                <w:tab w:val="left" w:pos="540"/>
              </w:tabs>
              <w:spacing w:line="360" w:lineRule="auto"/>
              <w:rPr>
                <w:szCs w:val="21"/>
              </w:rPr>
            </w:pPr>
            <w:r>
              <w:rPr>
                <w:rFonts w:hint="eastAsia"/>
                <w:szCs w:val="21"/>
              </w:rPr>
              <w:t>支持信息分级采编、多级审核发布，支持新闻栏目分级定制。</w:t>
            </w:r>
          </w:p>
          <w:p w14:paraId="070F6324">
            <w:pPr>
              <w:tabs>
                <w:tab w:val="left" w:pos="360"/>
                <w:tab w:val="left" w:pos="540"/>
              </w:tabs>
              <w:spacing w:line="360" w:lineRule="auto"/>
              <w:rPr>
                <w:szCs w:val="21"/>
              </w:rPr>
            </w:pPr>
            <w:r>
              <w:rPr>
                <w:rFonts w:hint="eastAsia"/>
                <w:szCs w:val="21"/>
              </w:rPr>
              <w:t>支持新闻采用量统计与效果分析，支撑校园文化体系建设。</w:t>
            </w:r>
          </w:p>
          <w:p w14:paraId="0E0CA21F">
            <w:pPr>
              <w:tabs>
                <w:tab w:val="left" w:pos="360"/>
                <w:tab w:val="left" w:pos="540"/>
              </w:tabs>
              <w:spacing w:line="360" w:lineRule="auto"/>
              <w:rPr>
                <w:szCs w:val="21"/>
              </w:rPr>
            </w:pPr>
            <w:r>
              <w:rPr>
                <w:rFonts w:hint="eastAsia"/>
                <w:szCs w:val="21"/>
              </w:rPr>
              <w:t>11. 协作区管理</w:t>
            </w:r>
          </w:p>
          <w:p w14:paraId="4DE7DBC8">
            <w:pPr>
              <w:tabs>
                <w:tab w:val="left" w:pos="360"/>
                <w:tab w:val="left" w:pos="540"/>
              </w:tabs>
              <w:spacing w:line="360" w:lineRule="auto"/>
              <w:rPr>
                <w:szCs w:val="21"/>
              </w:rPr>
            </w:pPr>
            <w:r>
              <w:rPr>
                <w:rFonts w:hint="eastAsia"/>
                <w:szCs w:val="21"/>
              </w:rPr>
              <w:t>构建跨组织、跨岗位的柔性快速沟通渠道，形成任务分发、执行推进、文档共享与闭环反馈一体化协同工作体系。</w:t>
            </w:r>
          </w:p>
          <w:p w14:paraId="10051800">
            <w:pPr>
              <w:tabs>
                <w:tab w:val="left" w:pos="360"/>
                <w:tab w:val="left" w:pos="540"/>
              </w:tabs>
              <w:spacing w:line="360" w:lineRule="auto"/>
              <w:rPr>
                <w:szCs w:val="21"/>
              </w:rPr>
            </w:pPr>
            <w:r>
              <w:rPr>
                <w:rFonts w:hint="eastAsia"/>
                <w:szCs w:val="21"/>
              </w:rPr>
              <w:t>支持专项工作组、项目组等临时团队快速搭建协作空间，支持成员灵活配置与权限管控。</w:t>
            </w:r>
          </w:p>
          <w:p w14:paraId="4B3CFB5C">
            <w:pPr>
              <w:tabs>
                <w:tab w:val="left" w:pos="360"/>
                <w:tab w:val="left" w:pos="540"/>
              </w:tabs>
              <w:spacing w:line="360" w:lineRule="auto"/>
              <w:rPr>
                <w:szCs w:val="21"/>
              </w:rPr>
            </w:pPr>
            <w:r>
              <w:rPr>
                <w:rFonts w:hint="eastAsia"/>
                <w:szCs w:val="21"/>
              </w:rPr>
              <w:t>12. 统一通讯录</w:t>
            </w:r>
          </w:p>
          <w:p w14:paraId="4E344EA4">
            <w:pPr>
              <w:tabs>
                <w:tab w:val="left" w:pos="360"/>
                <w:tab w:val="left" w:pos="540"/>
              </w:tabs>
              <w:spacing w:line="360" w:lineRule="auto"/>
              <w:rPr>
                <w:szCs w:val="21"/>
              </w:rPr>
            </w:pPr>
            <w:r>
              <w:rPr>
                <w:rFonts w:hint="eastAsia"/>
                <w:szCs w:val="21"/>
              </w:rPr>
              <w:t>建立校内统一人员通讯录管理体系，基于分级权限管控实现人员高效关联查询。</w:t>
            </w:r>
          </w:p>
          <w:p w14:paraId="0CE8A620">
            <w:pPr>
              <w:tabs>
                <w:tab w:val="left" w:pos="360"/>
                <w:tab w:val="left" w:pos="540"/>
              </w:tabs>
              <w:spacing w:line="360" w:lineRule="auto"/>
              <w:rPr>
                <w:szCs w:val="21"/>
              </w:rPr>
            </w:pPr>
            <w:r>
              <w:rPr>
                <w:rFonts w:hint="eastAsia"/>
                <w:szCs w:val="21"/>
              </w:rPr>
              <w:t>支持多维度、虚拟化组织架构展示，支持人员联系方式、岗位信息分级维护与授权查看。</w:t>
            </w:r>
          </w:p>
          <w:p w14:paraId="5E35A097">
            <w:pPr>
              <w:tabs>
                <w:tab w:val="left" w:pos="360"/>
                <w:tab w:val="left" w:pos="540"/>
              </w:tabs>
              <w:spacing w:line="360" w:lineRule="auto"/>
              <w:rPr>
                <w:szCs w:val="21"/>
              </w:rPr>
            </w:pPr>
            <w:r>
              <w:rPr>
                <w:rFonts w:hint="eastAsia"/>
                <w:szCs w:val="21"/>
              </w:rPr>
              <w:t>支持个人信息自助维护，支持多条件组合检索与一键发起沟通、流程。</w:t>
            </w:r>
          </w:p>
          <w:p w14:paraId="39794C39">
            <w:pPr>
              <w:tabs>
                <w:tab w:val="left" w:pos="360"/>
                <w:tab w:val="left" w:pos="540"/>
              </w:tabs>
              <w:spacing w:line="360" w:lineRule="auto"/>
              <w:rPr>
                <w:szCs w:val="21"/>
              </w:rPr>
            </w:pPr>
            <w:r>
              <w:rPr>
                <w:rFonts w:hint="eastAsia"/>
                <w:szCs w:val="21"/>
              </w:rPr>
              <w:t>13. 网络调查</w:t>
            </w:r>
          </w:p>
          <w:p w14:paraId="38B1235A">
            <w:pPr>
              <w:tabs>
                <w:tab w:val="left" w:pos="360"/>
                <w:tab w:val="left" w:pos="540"/>
              </w:tabs>
              <w:spacing w:line="360" w:lineRule="auto"/>
              <w:rPr>
                <w:szCs w:val="21"/>
              </w:rPr>
            </w:pPr>
            <w:r>
              <w:rPr>
                <w:rFonts w:hint="eastAsia"/>
                <w:szCs w:val="21"/>
              </w:rPr>
              <w:t>搭建多样化线上调查与意见反馈平台，覆盖工作满意度、活动调研、专项调查等场景，实现调研全流程闭环管理。</w:t>
            </w:r>
          </w:p>
          <w:p w14:paraId="6A942CBA">
            <w:pPr>
              <w:tabs>
                <w:tab w:val="left" w:pos="360"/>
                <w:tab w:val="left" w:pos="540"/>
              </w:tabs>
              <w:spacing w:line="360" w:lineRule="auto"/>
              <w:rPr>
                <w:szCs w:val="21"/>
              </w:rPr>
            </w:pPr>
            <w:r>
              <w:rPr>
                <w:rFonts w:hint="eastAsia"/>
                <w:szCs w:val="21"/>
              </w:rPr>
              <w:t>支持可视化问卷设计，内置单选、多选、矩阵、问答、评分等多种题型，支持题型扩展。</w:t>
            </w:r>
          </w:p>
          <w:p w14:paraId="6E85350A">
            <w:pPr>
              <w:tabs>
                <w:tab w:val="left" w:pos="360"/>
                <w:tab w:val="left" w:pos="540"/>
              </w:tabs>
              <w:spacing w:line="360" w:lineRule="auto"/>
              <w:rPr>
                <w:szCs w:val="21"/>
              </w:rPr>
            </w:pPr>
            <w:r>
              <w:rPr>
                <w:rFonts w:hint="eastAsia"/>
                <w:szCs w:val="21"/>
              </w:rPr>
              <w:t>支持多渠道分发、数据自动收集、汇总统计分析与结果反馈，支持问卷数据导出。</w:t>
            </w:r>
          </w:p>
          <w:p w14:paraId="5DC80055">
            <w:pPr>
              <w:tabs>
                <w:tab w:val="left" w:pos="360"/>
                <w:tab w:val="left" w:pos="540"/>
              </w:tabs>
              <w:spacing w:line="360" w:lineRule="auto"/>
              <w:rPr>
                <w:szCs w:val="21"/>
              </w:rPr>
            </w:pPr>
            <w:r>
              <w:rPr>
                <w:rFonts w:hint="eastAsia"/>
                <w:szCs w:val="21"/>
              </w:rPr>
              <w:t>二、系统技术与性能要求</w:t>
            </w:r>
          </w:p>
          <w:p w14:paraId="6397AE5D">
            <w:pPr>
              <w:tabs>
                <w:tab w:val="left" w:pos="360"/>
                <w:tab w:val="left" w:pos="540"/>
              </w:tabs>
              <w:spacing w:line="360" w:lineRule="auto"/>
              <w:rPr>
                <w:szCs w:val="21"/>
              </w:rPr>
            </w:pPr>
            <w:r>
              <w:rPr>
                <w:rFonts w:hint="eastAsia"/>
                <w:szCs w:val="21"/>
              </w:rPr>
              <w:t>1. 技术架构要求</w:t>
            </w:r>
          </w:p>
          <w:p w14:paraId="08040912">
            <w:pPr>
              <w:tabs>
                <w:tab w:val="left" w:pos="360"/>
                <w:tab w:val="left" w:pos="540"/>
              </w:tabs>
              <w:spacing w:line="360" w:lineRule="auto"/>
              <w:rPr>
                <w:szCs w:val="21"/>
              </w:rPr>
            </w:pPr>
            <w:r>
              <w:rPr>
                <w:rFonts w:hint="eastAsia"/>
                <w:szCs w:val="21"/>
              </w:rPr>
              <w:t>平台采用分层设计、前后端分离、应用松耦合架构，前端单页化、后端微服务化、组件化、接口化，支撑多级组织统一部署、统一管理与应用统一分发。</w:t>
            </w:r>
          </w:p>
          <w:p w14:paraId="07144572">
            <w:pPr>
              <w:tabs>
                <w:tab w:val="left" w:pos="360"/>
                <w:tab w:val="left" w:pos="540"/>
              </w:tabs>
              <w:spacing w:line="360" w:lineRule="auto"/>
              <w:rPr>
                <w:szCs w:val="21"/>
              </w:rPr>
            </w:pPr>
            <w:r>
              <w:rPr>
                <w:rFonts w:hint="eastAsia"/>
                <w:szCs w:val="21"/>
              </w:rPr>
              <w:t>微服务架构：采用成熟微服务架构，应用与数据库空间解耦合，配套缓存框架提升系统性能；支持迭代开发与弹性扩展。</w:t>
            </w:r>
          </w:p>
          <w:p w14:paraId="060DAF4C">
            <w:pPr>
              <w:tabs>
                <w:tab w:val="left" w:pos="360"/>
                <w:tab w:val="left" w:pos="540"/>
              </w:tabs>
              <w:spacing w:line="360" w:lineRule="auto"/>
              <w:rPr>
                <w:szCs w:val="21"/>
              </w:rPr>
            </w:pPr>
            <w:r>
              <w:rPr>
                <w:rFonts w:hint="eastAsia"/>
                <w:szCs w:val="21"/>
              </w:rPr>
              <w:t>B/S 架构：基于浏览器访问，兼容 IE10/11、Edge、Firefox、Chrome、Safari、360浏览器等主流与信创浏览器。</w:t>
            </w:r>
          </w:p>
          <w:p w14:paraId="60185D86">
            <w:pPr>
              <w:tabs>
                <w:tab w:val="left" w:pos="360"/>
                <w:tab w:val="left" w:pos="540"/>
              </w:tabs>
              <w:spacing w:line="360" w:lineRule="auto"/>
              <w:rPr>
                <w:szCs w:val="21"/>
              </w:rPr>
            </w:pPr>
            <w:r>
              <w:rPr>
                <w:rFonts w:hint="eastAsia"/>
                <w:szCs w:val="21"/>
              </w:rPr>
              <w:t>多终端适配：支持 Web 端、移动端多终端应用，数据与功能同源统一管理，无需单独建设。</w:t>
            </w:r>
          </w:p>
          <w:p w14:paraId="112061E9">
            <w:pPr>
              <w:tabs>
                <w:tab w:val="left" w:pos="360"/>
                <w:tab w:val="left" w:pos="540"/>
              </w:tabs>
              <w:spacing w:line="360" w:lineRule="auto"/>
              <w:rPr>
                <w:szCs w:val="21"/>
              </w:rPr>
            </w:pPr>
            <w:r>
              <w:rPr>
                <w:rFonts w:hint="eastAsia"/>
                <w:szCs w:val="21"/>
              </w:rPr>
              <w:t>2. 信创适配要求</w:t>
            </w:r>
          </w:p>
          <w:p w14:paraId="5756C7AE">
            <w:pPr>
              <w:tabs>
                <w:tab w:val="left" w:pos="360"/>
                <w:tab w:val="left" w:pos="540"/>
              </w:tabs>
              <w:spacing w:line="360" w:lineRule="auto"/>
              <w:rPr>
                <w:szCs w:val="21"/>
              </w:rPr>
            </w:pPr>
            <w:r>
              <w:rPr>
                <w:rFonts w:hint="eastAsia"/>
                <w:szCs w:val="21"/>
              </w:rPr>
              <w:t>系统具备国内自主知识产权，支持全信创环境部署运行，不依赖国外插件，兼容主流信创软硬件生态：</w:t>
            </w:r>
          </w:p>
          <w:p w14:paraId="395FAF3D">
            <w:pPr>
              <w:tabs>
                <w:tab w:val="left" w:pos="360"/>
                <w:tab w:val="left" w:pos="540"/>
              </w:tabs>
              <w:spacing w:line="360" w:lineRule="auto"/>
              <w:rPr>
                <w:szCs w:val="21"/>
              </w:rPr>
            </w:pPr>
            <w:r>
              <w:rPr>
                <w:rFonts w:hint="eastAsia"/>
                <w:szCs w:val="21"/>
              </w:rPr>
              <w:t>部署模式：支持私有化部署、集群部署，适配物理机，支持横向扩展。</w:t>
            </w:r>
          </w:p>
          <w:p w14:paraId="18DEFF0E">
            <w:pPr>
              <w:tabs>
                <w:tab w:val="left" w:pos="360"/>
                <w:tab w:val="left" w:pos="540"/>
              </w:tabs>
              <w:spacing w:line="360" w:lineRule="auto"/>
              <w:rPr>
                <w:szCs w:val="21"/>
              </w:rPr>
            </w:pPr>
            <w:r>
              <w:rPr>
                <w:rFonts w:hint="eastAsia"/>
                <w:szCs w:val="21"/>
              </w:rPr>
              <w:t>3. 集成架构与能力</w:t>
            </w:r>
          </w:p>
          <w:p w14:paraId="4542B5CA">
            <w:pPr>
              <w:tabs>
                <w:tab w:val="left" w:pos="360"/>
                <w:tab w:val="left" w:pos="540"/>
              </w:tabs>
              <w:spacing w:line="360" w:lineRule="auto"/>
              <w:rPr>
                <w:szCs w:val="21"/>
              </w:rPr>
            </w:pPr>
            <w:r>
              <w:rPr>
                <w:rFonts w:hint="eastAsia"/>
                <w:szCs w:val="21"/>
              </w:rPr>
              <w:t>系统具备独立ESB集成总线，支撑与校内现有及未来业务系统、外部系统的快速集成对接。</w:t>
            </w:r>
          </w:p>
          <w:p w14:paraId="348C3A42">
            <w:pPr>
              <w:tabs>
                <w:tab w:val="left" w:pos="360"/>
                <w:tab w:val="left" w:pos="540"/>
              </w:tabs>
              <w:spacing w:line="360" w:lineRule="auto"/>
              <w:rPr>
                <w:szCs w:val="21"/>
              </w:rPr>
            </w:pPr>
            <w:r>
              <w:rPr>
                <w:rFonts w:hint="eastAsia"/>
                <w:szCs w:val="21"/>
              </w:rPr>
              <w:t>集成能力：支持组织架构集成、单点登录集成、数据集成、流程集成、报表集成等全场景集成；可对接档案系统、统一身份认证等业务系统。</w:t>
            </w:r>
          </w:p>
          <w:p w14:paraId="065C21D6">
            <w:pPr>
              <w:tabs>
                <w:tab w:val="left" w:pos="360"/>
                <w:tab w:val="left" w:pos="540"/>
              </w:tabs>
              <w:spacing w:line="360" w:lineRule="auto"/>
              <w:rPr>
                <w:szCs w:val="21"/>
              </w:rPr>
            </w:pPr>
            <w:r>
              <w:rPr>
                <w:rFonts w:hint="eastAsia"/>
                <w:szCs w:val="21"/>
              </w:rPr>
              <w:t>接口规范：提供 WebService、Rest等多种标准接口模式；提供配置化的服务注册、事件管理、接口管理、资源管理能力。</w:t>
            </w:r>
          </w:p>
          <w:p w14:paraId="6F620C2B">
            <w:pPr>
              <w:tabs>
                <w:tab w:val="left" w:pos="360"/>
                <w:tab w:val="left" w:pos="540"/>
              </w:tabs>
              <w:spacing w:line="360" w:lineRule="auto"/>
              <w:rPr>
                <w:szCs w:val="21"/>
              </w:rPr>
            </w:pPr>
            <w:r>
              <w:rPr>
                <w:rFonts w:hint="eastAsia"/>
                <w:szCs w:val="21"/>
              </w:rPr>
              <w:t>配置化集成：多数集成场景可通过可视化配置完成，无需大量开发调试；支持事件触发机制，组织结构变动、信息发布等事件可自动触发第三方系统同步。</w:t>
            </w:r>
          </w:p>
          <w:p w14:paraId="3E3645E7">
            <w:pPr>
              <w:tabs>
                <w:tab w:val="left" w:pos="360"/>
                <w:tab w:val="left" w:pos="540"/>
              </w:tabs>
              <w:spacing w:line="360" w:lineRule="auto"/>
              <w:rPr>
                <w:szCs w:val="21"/>
              </w:rPr>
            </w:pPr>
            <w:r>
              <w:rPr>
                <w:rFonts w:hint="eastAsia"/>
                <w:szCs w:val="21"/>
              </w:rPr>
              <w:t>提供完整接口文档与技术支持，保障系统扩展性与兼容性。</w:t>
            </w:r>
          </w:p>
          <w:p w14:paraId="47A0A79E">
            <w:pPr>
              <w:tabs>
                <w:tab w:val="left" w:pos="360"/>
                <w:tab w:val="left" w:pos="540"/>
              </w:tabs>
              <w:spacing w:line="360" w:lineRule="auto"/>
              <w:rPr>
                <w:szCs w:val="21"/>
              </w:rPr>
            </w:pPr>
            <w:r>
              <w:rPr>
                <w:rFonts w:hint="eastAsia"/>
                <w:szCs w:val="21"/>
              </w:rPr>
              <w:t>4. 用户规模与并发性能</w:t>
            </w:r>
          </w:p>
          <w:p w14:paraId="71F31664">
            <w:pPr>
              <w:tabs>
                <w:tab w:val="left" w:pos="360"/>
                <w:tab w:val="left" w:pos="540"/>
              </w:tabs>
              <w:spacing w:line="360" w:lineRule="auto"/>
              <w:rPr>
                <w:szCs w:val="21"/>
              </w:rPr>
            </w:pPr>
            <w:r>
              <w:rPr>
                <w:rFonts w:hint="eastAsia"/>
                <w:szCs w:val="21"/>
              </w:rPr>
              <w:t>系统需满足全校 3000 名教职工注册使用需求，同时在线并发承载能力≥500并发用户。</w:t>
            </w:r>
          </w:p>
          <w:p w14:paraId="393402A6">
            <w:pPr>
              <w:tabs>
                <w:tab w:val="left" w:pos="360"/>
                <w:tab w:val="left" w:pos="540"/>
              </w:tabs>
              <w:spacing w:line="360" w:lineRule="auto"/>
              <w:rPr>
                <w:szCs w:val="21"/>
              </w:rPr>
            </w:pPr>
            <w:r>
              <w:rPr>
                <w:rFonts w:hint="eastAsia"/>
                <w:szCs w:val="21"/>
              </w:rPr>
              <w:t>响应指标：简单事务操作平均响应时间≤2 秒，复杂查询与统计报表生成≤60 秒；事务成功率不低于 99.99%。</w:t>
            </w:r>
          </w:p>
          <w:p w14:paraId="1AC0A7A7">
            <w:pPr>
              <w:tabs>
                <w:tab w:val="left" w:pos="360"/>
                <w:tab w:val="left" w:pos="540"/>
              </w:tabs>
              <w:spacing w:line="360" w:lineRule="auto"/>
              <w:rPr>
                <w:szCs w:val="21"/>
              </w:rPr>
            </w:pPr>
            <w:r>
              <w:rPr>
                <w:rFonts w:hint="eastAsia"/>
                <w:szCs w:val="21"/>
              </w:rPr>
              <w:t>稳定性：系统年可用率≥99.9%，故障恢复时间≤30 分钟；支持 365 天 ×24 小时持续运行，支持集群横向扩展提升负载能力。</w:t>
            </w:r>
          </w:p>
          <w:p w14:paraId="2431461E">
            <w:pPr>
              <w:tabs>
                <w:tab w:val="left" w:pos="360"/>
                <w:tab w:val="left" w:pos="540"/>
              </w:tabs>
              <w:spacing w:line="360" w:lineRule="auto"/>
              <w:rPr>
                <w:szCs w:val="21"/>
              </w:rPr>
            </w:pPr>
            <w:r>
              <w:rPr>
                <w:rFonts w:hint="eastAsia"/>
                <w:szCs w:val="21"/>
              </w:rPr>
              <w:t>5. 网络适配要求</w:t>
            </w:r>
          </w:p>
          <w:p w14:paraId="40913835">
            <w:pPr>
              <w:tabs>
                <w:tab w:val="left" w:pos="360"/>
                <w:tab w:val="left" w:pos="540"/>
              </w:tabs>
              <w:spacing w:line="360" w:lineRule="auto"/>
              <w:rPr>
                <w:szCs w:val="21"/>
              </w:rPr>
            </w:pPr>
            <w:r>
              <w:rPr>
                <w:rFonts w:hint="eastAsia"/>
                <w:szCs w:val="21"/>
              </w:rPr>
              <w:t>系统全面支持 IPv6 网络协议，兼容 IPv4/IPv6 双栈网络环境，可无缝适配校园现有网络架构及未来升级改造需求，保障访问通畅稳定。</w:t>
            </w:r>
          </w:p>
          <w:p w14:paraId="667862C4">
            <w:pPr>
              <w:tabs>
                <w:tab w:val="left" w:pos="360"/>
                <w:tab w:val="left" w:pos="540"/>
              </w:tabs>
              <w:spacing w:line="360" w:lineRule="auto"/>
              <w:rPr>
                <w:szCs w:val="21"/>
              </w:rPr>
            </w:pPr>
            <w:r>
              <w:rPr>
                <w:rFonts w:hint="eastAsia"/>
                <w:szCs w:val="21"/>
              </w:rPr>
              <w:t>三、安全合规要求</w:t>
            </w:r>
          </w:p>
          <w:p w14:paraId="0E45D3A0">
            <w:pPr>
              <w:tabs>
                <w:tab w:val="left" w:pos="360"/>
                <w:tab w:val="left" w:pos="540"/>
              </w:tabs>
              <w:spacing w:line="360" w:lineRule="auto"/>
              <w:rPr>
                <w:szCs w:val="21"/>
              </w:rPr>
            </w:pPr>
            <w:r>
              <w:rPr>
                <w:rFonts w:hint="eastAsia"/>
                <w:szCs w:val="21"/>
              </w:rPr>
              <w:t>1. 安全合规要求</w:t>
            </w:r>
          </w:p>
          <w:p w14:paraId="55957C46">
            <w:pPr>
              <w:tabs>
                <w:tab w:val="left" w:pos="360"/>
                <w:tab w:val="left" w:pos="540"/>
              </w:tabs>
              <w:spacing w:line="360" w:lineRule="auto"/>
              <w:rPr>
                <w:szCs w:val="21"/>
              </w:rPr>
            </w:pPr>
            <w:r>
              <w:rPr>
                <w:rFonts w:hint="eastAsia"/>
                <w:szCs w:val="21"/>
              </w:rPr>
              <w:t>系统整体建设、功能设计、安全防护体系严格符合《网络安全等级保护基本要求》（GB/T 22239-2019）第二级标准，项目验收前完成等保二级测评与备案。</w:t>
            </w:r>
          </w:p>
          <w:p w14:paraId="71A2E45C">
            <w:pPr>
              <w:tabs>
                <w:tab w:val="left" w:pos="360"/>
                <w:tab w:val="left" w:pos="540"/>
              </w:tabs>
              <w:spacing w:line="360" w:lineRule="auto"/>
              <w:rPr>
                <w:szCs w:val="21"/>
              </w:rPr>
            </w:pPr>
            <w:r>
              <w:rPr>
                <w:rFonts w:hint="eastAsia"/>
                <w:szCs w:val="21"/>
              </w:rPr>
              <w:t>权限管控：支持三员分立权限管理，支持分级授权与最小权限管控。</w:t>
            </w:r>
          </w:p>
          <w:p w14:paraId="61E9ACEC">
            <w:pPr>
              <w:tabs>
                <w:tab w:val="left" w:pos="360"/>
                <w:tab w:val="left" w:pos="540"/>
              </w:tabs>
              <w:spacing w:line="360" w:lineRule="auto"/>
              <w:rPr>
                <w:szCs w:val="21"/>
              </w:rPr>
            </w:pPr>
            <w:r>
              <w:rPr>
                <w:rFonts w:hint="eastAsia"/>
                <w:szCs w:val="21"/>
              </w:rPr>
              <w:t>数据安全：支持数据存储加密、用户密码加密、HTTPS传输加密；支持数据备份与容灾恢复策略，支持全量、增量备份。</w:t>
            </w:r>
          </w:p>
          <w:p w14:paraId="0489EB69">
            <w:pPr>
              <w:tabs>
                <w:tab w:val="left" w:pos="360"/>
                <w:tab w:val="left" w:pos="540"/>
              </w:tabs>
              <w:spacing w:line="360" w:lineRule="auto"/>
              <w:rPr>
                <w:szCs w:val="21"/>
              </w:rPr>
            </w:pPr>
            <w:r>
              <w:rPr>
                <w:rFonts w:hint="eastAsia"/>
                <w:szCs w:val="21"/>
              </w:rPr>
              <w:t>访问安全：支持密码策略管控、登录失败锁定、操作日志全量审计；支持第三方认证体系对接。</w:t>
            </w:r>
          </w:p>
          <w:p w14:paraId="424CBBAA">
            <w:pPr>
              <w:tabs>
                <w:tab w:val="left" w:pos="360"/>
                <w:tab w:val="left" w:pos="540"/>
              </w:tabs>
              <w:spacing w:line="360" w:lineRule="auto"/>
              <w:rPr>
                <w:szCs w:val="21"/>
              </w:rPr>
            </w:pPr>
            <w:r>
              <w:rPr>
                <w:rFonts w:hint="eastAsia"/>
                <w:szCs w:val="21"/>
              </w:rPr>
              <w:t>移动安全：支持移动端设备管控、VPN 安全接入，构建端到端安全防护体系。</w:t>
            </w:r>
          </w:p>
          <w:p w14:paraId="136F402E">
            <w:pPr>
              <w:tabs>
                <w:tab w:val="left" w:pos="360"/>
                <w:tab w:val="left" w:pos="540"/>
              </w:tabs>
              <w:spacing w:line="360" w:lineRule="auto"/>
              <w:rPr>
                <w:szCs w:val="21"/>
              </w:rPr>
            </w:pPr>
            <w:r>
              <w:rPr>
                <w:rFonts w:hint="eastAsia"/>
                <w:szCs w:val="21"/>
              </w:rPr>
              <w:t>全面落实数据安全、访问安全、运维安全三级管控，构建合规、安全、可控的校园办公运行环境。</w:t>
            </w:r>
          </w:p>
          <w:p w14:paraId="30D79935">
            <w:pPr>
              <w:tabs>
                <w:tab w:val="left" w:pos="360"/>
                <w:tab w:val="left" w:pos="540"/>
              </w:tabs>
              <w:spacing w:line="360" w:lineRule="auto"/>
              <w:rPr>
                <w:szCs w:val="21"/>
              </w:rPr>
            </w:pPr>
            <w:r>
              <w:rPr>
                <w:rFonts w:hint="eastAsia"/>
                <w:szCs w:val="21"/>
              </w:rPr>
              <w:t>四、项目交付与专项要求</w:t>
            </w:r>
          </w:p>
          <w:p w14:paraId="4ACB9BD5">
            <w:pPr>
              <w:tabs>
                <w:tab w:val="left" w:pos="360"/>
                <w:tab w:val="left" w:pos="540"/>
              </w:tabs>
              <w:spacing w:line="360" w:lineRule="auto"/>
              <w:rPr>
                <w:szCs w:val="21"/>
              </w:rPr>
            </w:pPr>
            <w:r>
              <w:rPr>
                <w:rFonts w:hint="eastAsia"/>
                <w:szCs w:val="21"/>
              </w:rPr>
              <w:t>1. 系统权限与运维交付</w:t>
            </w:r>
          </w:p>
          <w:p w14:paraId="2FA01887">
            <w:pPr>
              <w:tabs>
                <w:tab w:val="left" w:pos="360"/>
                <w:tab w:val="left" w:pos="540"/>
              </w:tabs>
              <w:spacing w:line="360" w:lineRule="auto"/>
              <w:rPr>
                <w:szCs w:val="21"/>
              </w:rPr>
            </w:pPr>
            <w:r>
              <w:rPr>
                <w:rFonts w:hint="eastAsia"/>
                <w:szCs w:val="21"/>
              </w:rPr>
              <w:t>中标方须向校方开放系统部署服务器的登录最高管理权限、系统全量备份权限，同步交付系统管理操作手册、备份操作说明书，保障校方对系统的自主管控能力。</w:t>
            </w:r>
          </w:p>
          <w:p w14:paraId="2DB2A560">
            <w:pPr>
              <w:tabs>
                <w:tab w:val="left" w:pos="360"/>
                <w:tab w:val="left" w:pos="540"/>
              </w:tabs>
              <w:spacing w:line="360" w:lineRule="auto"/>
              <w:rPr>
                <w:szCs w:val="21"/>
              </w:rPr>
            </w:pPr>
            <w:r>
              <w:rPr>
                <w:rFonts w:hint="eastAsia"/>
                <w:szCs w:val="21"/>
              </w:rPr>
              <w:t>交付完整的系统运维文档、管理员操作手册、用户使用手册，保障校方后续可独立完成系统日常运维与管理。</w:t>
            </w:r>
          </w:p>
          <w:p w14:paraId="6CC3B6CB">
            <w:pPr>
              <w:tabs>
                <w:tab w:val="left" w:pos="360"/>
                <w:tab w:val="left" w:pos="540"/>
              </w:tabs>
              <w:spacing w:line="360" w:lineRule="auto"/>
              <w:rPr>
                <w:szCs w:val="21"/>
              </w:rPr>
            </w:pPr>
            <w:r>
              <w:rPr>
                <w:rFonts w:hint="eastAsia"/>
                <w:szCs w:val="21"/>
              </w:rPr>
              <w:t>2. 知识产权与永久使用权</w:t>
            </w:r>
          </w:p>
          <w:p w14:paraId="137C2036">
            <w:pPr>
              <w:tabs>
                <w:tab w:val="left" w:pos="360"/>
                <w:tab w:val="left" w:pos="540"/>
              </w:tabs>
              <w:spacing w:line="360" w:lineRule="auto"/>
              <w:rPr>
                <w:szCs w:val="21"/>
              </w:rPr>
            </w:pPr>
            <w:r>
              <w:rPr>
                <w:rFonts w:hint="eastAsia"/>
                <w:szCs w:val="21"/>
              </w:rPr>
              <w:t>校方对本次购置的定制化协同办公系统享有永久使用权，中标方不得以运维期、维保期到期为由，限制系统核心功能使用或终止系统使用授权。</w:t>
            </w:r>
          </w:p>
          <w:p w14:paraId="72E0E1D8">
            <w:pPr>
              <w:tabs>
                <w:tab w:val="left" w:pos="360"/>
                <w:tab w:val="left" w:pos="540"/>
              </w:tabs>
              <w:spacing w:line="360" w:lineRule="auto"/>
              <w:rPr>
                <w:szCs w:val="21"/>
              </w:rPr>
            </w:pPr>
            <w:r>
              <w:rPr>
                <w:rFonts w:hint="eastAsia"/>
                <w:szCs w:val="21"/>
              </w:rPr>
              <w:t>中标方须书面承诺：本项目定制化开发部分的全部知识产权归校方所有；产品原生通用功能部分，中标方须授予校方永久、非独占、不可撤销的使用许可，保障系统长期合法使用。</w:t>
            </w:r>
          </w:p>
          <w:p w14:paraId="57A0C039">
            <w:pPr>
              <w:tabs>
                <w:tab w:val="left" w:pos="360"/>
                <w:tab w:val="left" w:pos="540"/>
              </w:tabs>
              <w:spacing w:line="360" w:lineRule="auto"/>
              <w:rPr>
                <w:szCs w:val="21"/>
              </w:rPr>
            </w:pPr>
            <w:r>
              <w:rPr>
                <w:rFonts w:hint="eastAsia"/>
                <w:szCs w:val="21"/>
              </w:rPr>
              <w:t>3. 数据迁移专项要求</w:t>
            </w:r>
          </w:p>
          <w:p w14:paraId="31D2546B">
            <w:pPr>
              <w:tabs>
                <w:tab w:val="left" w:pos="360"/>
                <w:tab w:val="left" w:pos="540"/>
              </w:tabs>
              <w:spacing w:line="360" w:lineRule="auto"/>
              <w:rPr>
                <w:szCs w:val="21"/>
              </w:rPr>
            </w:pPr>
            <w:r>
              <w:rPr>
                <w:rFonts w:hint="eastAsia"/>
                <w:szCs w:val="21"/>
              </w:rPr>
              <w:t>中标人须负责完成校方原有协同办公系统的数据迁移工作，保障业务连续性与数据资产完整性，具体要求如下：</w:t>
            </w:r>
          </w:p>
          <w:p w14:paraId="14A008C7">
            <w:pPr>
              <w:tabs>
                <w:tab w:val="left" w:pos="360"/>
                <w:tab w:val="left" w:pos="540"/>
              </w:tabs>
              <w:spacing w:line="360" w:lineRule="auto"/>
              <w:rPr>
                <w:szCs w:val="21"/>
              </w:rPr>
            </w:pPr>
            <w:r>
              <w:rPr>
                <w:rFonts w:hint="eastAsia"/>
                <w:szCs w:val="21"/>
              </w:rPr>
              <w:t>迁移范围：迁移内容包含但不限于历史公文、审批流程实例、公告新闻、知识库文档、通讯录、会议记录、系统配置等历史业务数据。</w:t>
            </w:r>
          </w:p>
          <w:p w14:paraId="423CE941">
            <w:pPr>
              <w:tabs>
                <w:tab w:val="left" w:pos="360"/>
                <w:tab w:val="left" w:pos="540"/>
              </w:tabs>
              <w:spacing w:line="360" w:lineRule="auto"/>
              <w:rPr>
                <w:szCs w:val="21"/>
              </w:rPr>
            </w:pPr>
            <w:r>
              <w:rPr>
                <w:rFonts w:hint="eastAsia"/>
                <w:szCs w:val="21"/>
              </w:rPr>
              <w:t>迁移方案：中标人须编制详细的《数据迁移方案》，明确迁移实施步骤、时间计划、风险应对措施及数据回滚预案，经采购人确认后方可执行迁移工作。</w:t>
            </w:r>
          </w:p>
          <w:p w14:paraId="03A191C9">
            <w:pPr>
              <w:tabs>
                <w:tab w:val="left" w:pos="360"/>
                <w:tab w:val="left" w:pos="540"/>
              </w:tabs>
              <w:spacing w:line="360" w:lineRule="auto"/>
              <w:rPr>
                <w:szCs w:val="21"/>
              </w:rPr>
            </w:pPr>
            <w:r>
              <w:rPr>
                <w:rFonts w:hint="eastAsia"/>
                <w:szCs w:val="21"/>
              </w:rPr>
              <w:t>质量与责任划分：中标人须保证迁移后数据的完整性、准确性、一致性，迁移完成后须出具正式《数据核对报告》，由校方共同核验确认。</w:t>
            </w:r>
          </w:p>
          <w:p w14:paraId="636198B0">
            <w:pPr>
              <w:tabs>
                <w:tab w:val="left" w:pos="360"/>
                <w:tab w:val="left" w:pos="540"/>
              </w:tabs>
              <w:spacing w:line="360" w:lineRule="auto"/>
              <w:rPr>
                <w:szCs w:val="21"/>
              </w:rPr>
            </w:pPr>
            <w:r>
              <w:rPr>
                <w:rFonts w:hint="eastAsia"/>
                <w:szCs w:val="21"/>
              </w:rPr>
              <w:t>采购人负责提供原系统数据库访问权限及必要的技术配合支持。</w:t>
            </w:r>
          </w:p>
        </w:tc>
        <w:tc>
          <w:tcPr>
            <w:tcW w:w="388" w:type="pct"/>
            <w:vAlign w:val="center"/>
          </w:tcPr>
          <w:p w14:paraId="61241A57">
            <w:pPr>
              <w:jc w:val="center"/>
              <w:rPr>
                <w:szCs w:val="21"/>
              </w:rPr>
            </w:pPr>
            <w:r>
              <w:rPr>
                <w:rFonts w:hint="eastAsia"/>
                <w:szCs w:val="21"/>
              </w:rPr>
              <w:t>套</w:t>
            </w:r>
          </w:p>
        </w:tc>
        <w:tc>
          <w:tcPr>
            <w:tcW w:w="252" w:type="pct"/>
            <w:vAlign w:val="center"/>
          </w:tcPr>
          <w:p w14:paraId="2D825751">
            <w:pPr>
              <w:jc w:val="center"/>
              <w:rPr>
                <w:szCs w:val="21"/>
              </w:rPr>
            </w:pPr>
            <w:r>
              <w:rPr>
                <w:rFonts w:hint="eastAsia"/>
                <w:szCs w:val="21"/>
              </w:rPr>
              <w:t>1</w:t>
            </w:r>
          </w:p>
        </w:tc>
      </w:tr>
      <w:tr w14:paraId="62D0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 w:type="pct"/>
            <w:vAlign w:val="center"/>
          </w:tcPr>
          <w:p w14:paraId="50AFD23F">
            <w:pPr>
              <w:jc w:val="center"/>
              <w:rPr>
                <w:szCs w:val="21"/>
              </w:rPr>
            </w:pPr>
            <w:r>
              <w:rPr>
                <w:rFonts w:hint="eastAsia"/>
                <w:szCs w:val="21"/>
              </w:rPr>
              <w:t>2</w:t>
            </w:r>
          </w:p>
        </w:tc>
        <w:tc>
          <w:tcPr>
            <w:tcW w:w="528" w:type="pct"/>
            <w:vAlign w:val="center"/>
          </w:tcPr>
          <w:p w14:paraId="102E8FBE">
            <w:pPr>
              <w:jc w:val="center"/>
              <w:rPr>
                <w:szCs w:val="21"/>
              </w:rPr>
            </w:pPr>
            <w:r>
              <w:rPr>
                <w:rFonts w:hint="eastAsia"/>
                <w:szCs w:val="21"/>
              </w:rPr>
              <w:t>中间件</w:t>
            </w:r>
          </w:p>
        </w:tc>
        <w:tc>
          <w:tcPr>
            <w:tcW w:w="3581" w:type="pct"/>
            <w:vAlign w:val="center"/>
          </w:tcPr>
          <w:p w14:paraId="5B89DFD6">
            <w:pPr>
              <w:tabs>
                <w:tab w:val="left" w:pos="360"/>
                <w:tab w:val="left" w:pos="540"/>
              </w:tabs>
              <w:spacing w:line="360" w:lineRule="auto"/>
              <w:rPr>
                <w:rFonts w:hint="eastAsia" w:ascii="宋体" w:hAnsi="宋体" w:cs="宋体"/>
                <w:szCs w:val="21"/>
              </w:rPr>
            </w:pPr>
            <w:r>
              <w:rPr>
                <w:rFonts w:hint="eastAsia" w:ascii="宋体" w:hAnsi="宋体" w:cs="宋体"/>
                <w:szCs w:val="21"/>
              </w:rPr>
              <w:t>(1)功能参数要求</w:t>
            </w:r>
          </w:p>
          <w:p w14:paraId="68D306D6">
            <w:pPr>
              <w:tabs>
                <w:tab w:val="left" w:pos="360"/>
                <w:tab w:val="left" w:pos="540"/>
              </w:tabs>
              <w:spacing w:line="360" w:lineRule="auto"/>
              <w:rPr>
                <w:rFonts w:hint="eastAsia" w:ascii="宋体" w:hAnsi="宋体" w:cs="宋体"/>
                <w:szCs w:val="21"/>
              </w:rPr>
            </w:pPr>
            <w:r>
              <w:rPr>
                <w:rFonts w:hint="eastAsia" w:ascii="宋体" w:hAnsi="宋体" w:cs="宋体"/>
                <w:szCs w:val="21"/>
              </w:rPr>
              <w:t>基础运行与应用管理：产品可部署于通用服务器，以后台服务形式运行，可为上层应用提供专属运行环境，支持上层应用的部署与全生命周期动态管理。用户可通过管理控制台、命令行工具两种方式，完成应用部署、启动、停止等运维操作。产品需内置Web容器、EJB容器、数据源服务、集群管理等核心基础功能。</w:t>
            </w:r>
          </w:p>
          <w:p w14:paraId="51D1F80E">
            <w:pPr>
              <w:tabs>
                <w:tab w:val="left" w:pos="360"/>
                <w:tab w:val="left" w:pos="540"/>
              </w:tabs>
              <w:spacing w:line="360" w:lineRule="auto"/>
              <w:rPr>
                <w:rFonts w:hint="eastAsia" w:ascii="宋体" w:hAnsi="宋体" w:cs="宋体"/>
                <w:szCs w:val="21"/>
              </w:rPr>
            </w:pPr>
            <w:r>
              <w:rPr>
                <w:rFonts w:hint="eastAsia" w:ascii="宋体" w:hAnsi="宋体" w:cs="宋体"/>
                <w:szCs w:val="21"/>
              </w:rPr>
              <w:t>可视化补丁管理：支持可视化界面操作，可直接通过管理界面完成产品补丁升级、补丁回退全流程操作，运维便捷性高。</w:t>
            </w:r>
          </w:p>
          <w:p w14:paraId="07800154">
            <w:pPr>
              <w:tabs>
                <w:tab w:val="left" w:pos="360"/>
                <w:tab w:val="left" w:pos="540"/>
              </w:tabs>
              <w:spacing w:line="360" w:lineRule="auto"/>
              <w:rPr>
                <w:rFonts w:hint="eastAsia" w:ascii="宋体" w:hAnsi="宋体" w:cs="宋体"/>
                <w:szCs w:val="21"/>
              </w:rPr>
            </w:pPr>
            <w:r>
              <w:rPr>
                <w:rFonts w:hint="eastAsia" w:ascii="宋体" w:hAnsi="宋体" w:cs="宋体"/>
                <w:szCs w:val="21"/>
              </w:rPr>
              <w:t>(2)兼容性要求</w:t>
            </w:r>
          </w:p>
          <w:p w14:paraId="2EF0F5EA">
            <w:pPr>
              <w:tabs>
                <w:tab w:val="left" w:pos="360"/>
                <w:tab w:val="left" w:pos="540"/>
              </w:tabs>
              <w:spacing w:line="360" w:lineRule="auto"/>
              <w:rPr>
                <w:rFonts w:hint="eastAsia" w:ascii="宋体" w:hAnsi="宋体" w:cs="宋体"/>
                <w:szCs w:val="21"/>
              </w:rPr>
            </w:pPr>
            <w:r>
              <w:rPr>
                <w:rFonts w:hint="eastAsia" w:ascii="宋体" w:hAnsi="宋体" w:cs="宋体"/>
                <w:szCs w:val="21"/>
              </w:rPr>
              <w:t>产品全面适配全国产软硬件生态，兼容主流国产化平台及软件体系</w:t>
            </w:r>
          </w:p>
          <w:p w14:paraId="76FA44C1">
            <w:pPr>
              <w:tabs>
                <w:tab w:val="left" w:pos="360"/>
                <w:tab w:val="left" w:pos="540"/>
              </w:tabs>
              <w:spacing w:line="360" w:lineRule="auto"/>
              <w:rPr>
                <w:rFonts w:hint="eastAsia" w:ascii="宋体" w:hAnsi="宋体" w:cs="宋体"/>
                <w:szCs w:val="21"/>
              </w:rPr>
            </w:pPr>
            <w:r>
              <w:rPr>
                <w:rFonts w:hint="eastAsia" w:ascii="宋体" w:hAnsi="宋体" w:cs="宋体"/>
                <w:szCs w:val="21"/>
              </w:rPr>
              <w:t>(3)稳定性要求</w:t>
            </w:r>
          </w:p>
          <w:p w14:paraId="51E49485">
            <w:pPr>
              <w:tabs>
                <w:tab w:val="left" w:pos="360"/>
                <w:tab w:val="left" w:pos="540"/>
              </w:tabs>
              <w:spacing w:line="360" w:lineRule="auto"/>
              <w:rPr>
                <w:rFonts w:hint="eastAsia" w:ascii="宋体" w:hAnsi="宋体" w:cs="宋体"/>
                <w:szCs w:val="21"/>
              </w:rPr>
            </w:pPr>
            <w:r>
              <w:rPr>
                <w:rFonts w:hint="eastAsia" w:ascii="宋体" w:hAnsi="宋体" w:cs="宋体"/>
                <w:szCs w:val="21"/>
              </w:rPr>
              <w:t>产品在全国产软硬件适配环境下，可支撑至少五十万在线用户稳定访问，运行核心指标需满足：平均响应时间＜300毫秒、事务通过率100%。需提供所投产品权威第三方测评机构出具的专项测试报告作为佐证。</w:t>
            </w:r>
          </w:p>
          <w:p w14:paraId="5E0103D1">
            <w:pPr>
              <w:tabs>
                <w:tab w:val="left" w:pos="360"/>
                <w:tab w:val="left" w:pos="540"/>
              </w:tabs>
              <w:spacing w:line="360" w:lineRule="auto"/>
              <w:rPr>
                <w:rFonts w:hint="eastAsia" w:ascii="宋体" w:hAnsi="宋体" w:cs="宋体"/>
                <w:szCs w:val="21"/>
              </w:rPr>
            </w:pPr>
            <w:r>
              <w:rPr>
                <w:rFonts w:hint="eastAsia" w:ascii="宋体" w:hAnsi="宋体" w:cs="宋体"/>
                <w:szCs w:val="21"/>
              </w:rPr>
              <w:t>(4)安全性要求</w:t>
            </w:r>
          </w:p>
          <w:p w14:paraId="16AADE47">
            <w:pPr>
              <w:tabs>
                <w:tab w:val="left" w:pos="360"/>
                <w:tab w:val="left" w:pos="540"/>
              </w:tabs>
              <w:spacing w:line="360" w:lineRule="auto"/>
              <w:rPr>
                <w:rFonts w:hint="eastAsia" w:ascii="宋体" w:hAnsi="宋体" w:cs="宋体"/>
                <w:szCs w:val="21"/>
              </w:rPr>
            </w:pPr>
            <w:r>
              <w:rPr>
                <w:rFonts w:hint="eastAsia" w:ascii="宋体" w:hAnsi="宋体" w:cs="宋体"/>
                <w:szCs w:val="21"/>
              </w:rPr>
              <w:t>①　 应用运行时自主防御能力</w:t>
            </w:r>
          </w:p>
          <w:p w14:paraId="5CD8E6C8">
            <w:pPr>
              <w:tabs>
                <w:tab w:val="left" w:pos="360"/>
                <w:tab w:val="left" w:pos="540"/>
              </w:tabs>
              <w:spacing w:line="360" w:lineRule="auto"/>
              <w:rPr>
                <w:rFonts w:hint="eastAsia" w:ascii="宋体" w:hAnsi="宋体" w:cs="宋体"/>
                <w:szCs w:val="21"/>
              </w:rPr>
            </w:pPr>
            <w:r>
              <w:rPr>
                <w:rFonts w:hint="eastAsia" w:ascii="宋体" w:hAnsi="宋体" w:cs="宋体"/>
                <w:szCs w:val="21"/>
              </w:rPr>
              <w:t>产品具备应用运行时自我保护安全防御机制，可结合业务上下文、关键函数参数等多维信息，动态识别恶意攻击行为并实时阻断。内置丰富的常见安全漏洞防御配置项，支持自定义配置防御策略，可精准检测并拦截SQL注入、命令注入、文件目录遍历等各类常见攻击。系统可完整记录攻击细节日志，支持溯源备查，同时可根据攻击事件类型自动生成针对性修复优化建议。</w:t>
            </w:r>
          </w:p>
          <w:p w14:paraId="3E952C74">
            <w:pPr>
              <w:tabs>
                <w:tab w:val="left" w:pos="360"/>
                <w:tab w:val="left" w:pos="540"/>
              </w:tabs>
              <w:spacing w:line="360" w:lineRule="auto"/>
              <w:rPr>
                <w:rFonts w:hint="eastAsia" w:ascii="宋体" w:hAnsi="宋体" w:cs="宋体"/>
                <w:szCs w:val="21"/>
              </w:rPr>
            </w:pPr>
            <w:r>
              <w:rPr>
                <w:rFonts w:hint="eastAsia" w:ascii="宋体" w:hAnsi="宋体" w:cs="宋体"/>
                <w:szCs w:val="21"/>
              </w:rPr>
              <w:t>支持安全防护数据可视化统计，可展示攻击总次数、攻击类型分布、Top10攻击来源、Top10被攻击URL等核心安全数据，便于运维人员把控整体安全态势。</w:t>
            </w:r>
          </w:p>
          <w:p w14:paraId="69D70284">
            <w:pPr>
              <w:tabs>
                <w:tab w:val="left" w:pos="360"/>
                <w:tab w:val="left" w:pos="540"/>
              </w:tabs>
              <w:spacing w:line="360" w:lineRule="auto"/>
              <w:rPr>
                <w:rFonts w:hint="eastAsia" w:ascii="宋体" w:hAnsi="宋体" w:cs="宋体"/>
                <w:szCs w:val="21"/>
              </w:rPr>
            </w:pPr>
            <w:r>
              <w:rPr>
                <w:rFonts w:hint="eastAsia" w:ascii="宋体" w:hAnsi="宋体" w:cs="宋体"/>
                <w:szCs w:val="21"/>
              </w:rPr>
              <w:t>②　安全合规测试认证</w:t>
            </w:r>
          </w:p>
          <w:p w14:paraId="3CBE31B0">
            <w:pPr>
              <w:tabs>
                <w:tab w:val="left" w:pos="360"/>
                <w:tab w:val="left" w:pos="540"/>
              </w:tabs>
              <w:spacing w:line="360" w:lineRule="auto"/>
              <w:rPr>
                <w:rFonts w:hint="eastAsia" w:ascii="宋体" w:hAnsi="宋体" w:cs="宋体"/>
                <w:szCs w:val="21"/>
              </w:rPr>
            </w:pPr>
            <w:r>
              <w:rPr>
                <w:rFonts w:hint="eastAsia" w:ascii="宋体" w:hAnsi="宋体" w:cs="宋体"/>
                <w:szCs w:val="21"/>
              </w:rPr>
              <w:t>产品已完成代码安全审查测试、渗透性测试，无高危安全漏洞，需提供所投产品第三方权威机构出具的《安全审查测试报告》，保障产品安全合规、规避中间件固有安全风险。</w:t>
            </w:r>
          </w:p>
          <w:p w14:paraId="2C6B2CD7">
            <w:pPr>
              <w:tabs>
                <w:tab w:val="left" w:pos="360"/>
                <w:tab w:val="left" w:pos="540"/>
              </w:tabs>
              <w:spacing w:line="360" w:lineRule="auto"/>
              <w:rPr>
                <w:rFonts w:hint="eastAsia" w:ascii="宋体" w:hAnsi="宋体" w:cs="宋体"/>
                <w:szCs w:val="21"/>
              </w:rPr>
            </w:pPr>
            <w:r>
              <w:rPr>
                <w:rFonts w:hint="eastAsia" w:ascii="宋体" w:hAnsi="宋体" w:cs="宋体"/>
                <w:szCs w:val="21"/>
              </w:rPr>
              <w:t>（5）密码与安全认证</w:t>
            </w:r>
          </w:p>
          <w:p w14:paraId="19FF96FD">
            <w:pPr>
              <w:tabs>
                <w:tab w:val="left" w:pos="360"/>
                <w:tab w:val="left" w:pos="540"/>
              </w:tabs>
              <w:spacing w:line="360" w:lineRule="auto"/>
              <w:rPr>
                <w:rFonts w:hint="eastAsia" w:ascii="宋体" w:hAnsi="宋体" w:cs="宋体"/>
                <w:szCs w:val="21"/>
              </w:rPr>
            </w:pPr>
            <w:r>
              <w:rPr>
                <w:rFonts w:hint="eastAsia" w:ascii="宋体" w:hAnsi="宋体" w:cs="宋体"/>
                <w:szCs w:val="21"/>
              </w:rPr>
              <w:t>★产品标准和技术要求符合GM/T 0028《密码模块安全技术要求》安全二级及以上要求，提供商用密码产品认证证书。</w:t>
            </w:r>
          </w:p>
          <w:p w14:paraId="3B380FD1">
            <w:pPr>
              <w:tabs>
                <w:tab w:val="left" w:pos="360"/>
                <w:tab w:val="left" w:pos="540"/>
              </w:tabs>
              <w:spacing w:line="360" w:lineRule="auto"/>
              <w:rPr>
                <w:rFonts w:hint="eastAsia" w:ascii="宋体" w:hAnsi="宋体" w:cs="宋体"/>
                <w:szCs w:val="21"/>
              </w:rPr>
            </w:pPr>
            <w:r>
              <w:rPr>
                <w:rFonts w:hint="eastAsia" w:ascii="宋体" w:hAnsi="宋体" w:cs="宋体"/>
                <w:szCs w:val="21"/>
              </w:rPr>
              <w:t>★满足《信息安全技术网络安全等级保护评估要求》（四级）身份鉴别、访问控制、安全审计等要求，符合GB/T22239-2019等标准。</w:t>
            </w:r>
          </w:p>
          <w:p w14:paraId="2C2120AB">
            <w:pPr>
              <w:tabs>
                <w:tab w:val="left" w:pos="360"/>
                <w:tab w:val="left" w:pos="540"/>
              </w:tabs>
              <w:spacing w:line="360" w:lineRule="auto"/>
              <w:rPr>
                <w:rFonts w:hint="eastAsia" w:ascii="宋体" w:hAnsi="宋体" w:cs="宋体"/>
                <w:szCs w:val="21"/>
              </w:rPr>
            </w:pPr>
            <w:r>
              <w:rPr>
                <w:rFonts w:hint="eastAsia" w:ascii="宋体" w:hAnsi="宋体" w:cs="宋体"/>
                <w:szCs w:val="21"/>
              </w:rPr>
              <w:t>★提供CNAS授权的第三方权威机构出具的《软件供应链安全监测分析报告》。</w:t>
            </w:r>
          </w:p>
          <w:p w14:paraId="1EB00573">
            <w:pPr>
              <w:tabs>
                <w:tab w:val="left" w:pos="360"/>
                <w:tab w:val="left" w:pos="540"/>
              </w:tabs>
              <w:spacing w:line="360" w:lineRule="auto"/>
              <w:rPr>
                <w:rFonts w:hint="eastAsia" w:ascii="宋体" w:hAnsi="宋体" w:cs="宋体"/>
                <w:szCs w:val="21"/>
              </w:rPr>
            </w:pPr>
            <w:r>
              <w:rPr>
                <w:rFonts w:hint="eastAsia" w:ascii="宋体" w:hAnsi="宋体" w:cs="宋体"/>
                <w:szCs w:val="21"/>
              </w:rPr>
              <w:t>（6）部署与兼容性</w:t>
            </w:r>
          </w:p>
          <w:p w14:paraId="5E9BE58C">
            <w:pPr>
              <w:tabs>
                <w:tab w:val="left" w:pos="360"/>
                <w:tab w:val="left" w:pos="540"/>
              </w:tabs>
              <w:spacing w:line="360" w:lineRule="auto"/>
              <w:rPr>
                <w:rFonts w:hint="eastAsia" w:ascii="宋体" w:hAnsi="宋体" w:cs="宋体"/>
                <w:szCs w:val="21"/>
              </w:rPr>
            </w:pPr>
            <w:r>
              <w:rPr>
                <w:rFonts w:hint="eastAsia" w:ascii="宋体" w:hAnsi="宋体" w:cs="宋体"/>
                <w:szCs w:val="21"/>
              </w:rPr>
              <w:t>支持国产化环境（飞腾、龙芯、鲲鹏、海光、申威、兆芯等平台及麒麟、统信、中科方德等操作系统）。</w:t>
            </w:r>
          </w:p>
          <w:p w14:paraId="4EFF85D1">
            <w:pPr>
              <w:tabs>
                <w:tab w:val="left" w:pos="360"/>
                <w:tab w:val="left" w:pos="540"/>
              </w:tabs>
              <w:spacing w:line="360" w:lineRule="auto"/>
              <w:rPr>
                <w:rFonts w:hint="eastAsia" w:ascii="宋体" w:hAnsi="宋体" w:cs="宋体"/>
                <w:szCs w:val="21"/>
              </w:rPr>
            </w:pPr>
            <w:r>
              <w:rPr>
                <w:rFonts w:hint="eastAsia" w:ascii="宋体" w:hAnsi="宋体" w:cs="宋体"/>
                <w:szCs w:val="21"/>
              </w:rPr>
              <w:t>支持国产数据库（神州通用、达梦、人大金仓、翰高数据库等）。</w:t>
            </w:r>
          </w:p>
          <w:p w14:paraId="785FC55A">
            <w:pPr>
              <w:tabs>
                <w:tab w:val="left" w:pos="360"/>
                <w:tab w:val="left" w:pos="540"/>
              </w:tabs>
              <w:spacing w:line="360" w:lineRule="auto"/>
              <w:rPr>
                <w:rFonts w:hint="eastAsia" w:ascii="宋体" w:hAnsi="宋体" w:cs="宋体"/>
                <w:szCs w:val="21"/>
              </w:rPr>
            </w:pPr>
            <w:r>
              <w:rPr>
                <w:rFonts w:hint="eastAsia" w:ascii="宋体" w:hAnsi="宋体" w:cs="宋体"/>
                <w:szCs w:val="21"/>
              </w:rPr>
              <w:t>支持虚拟机、物理机、容器环境部署，支持轻量版本和Spring Boot环境。</w:t>
            </w:r>
          </w:p>
          <w:p w14:paraId="4FF5041C">
            <w:pPr>
              <w:tabs>
                <w:tab w:val="left" w:pos="360"/>
                <w:tab w:val="left" w:pos="540"/>
              </w:tabs>
              <w:spacing w:line="360" w:lineRule="auto"/>
              <w:rPr>
                <w:rFonts w:hint="eastAsia" w:ascii="宋体" w:hAnsi="宋体" w:cs="宋体"/>
                <w:szCs w:val="21"/>
              </w:rPr>
            </w:pPr>
            <w:r>
              <w:rPr>
                <w:rFonts w:hint="eastAsia" w:ascii="宋体" w:hAnsi="宋体" w:cs="宋体"/>
                <w:szCs w:val="21"/>
              </w:rPr>
              <w:t>支持不停机动态更新license，支持批量替换license。</w:t>
            </w:r>
          </w:p>
          <w:p w14:paraId="1CBE8C9F">
            <w:pPr>
              <w:tabs>
                <w:tab w:val="left" w:pos="360"/>
                <w:tab w:val="left" w:pos="540"/>
              </w:tabs>
              <w:spacing w:line="360" w:lineRule="auto"/>
              <w:rPr>
                <w:rFonts w:hint="eastAsia" w:ascii="宋体" w:hAnsi="宋体" w:cs="宋体"/>
                <w:szCs w:val="21"/>
              </w:rPr>
            </w:pPr>
            <w:r>
              <w:rPr>
                <w:rFonts w:hint="eastAsia" w:ascii="宋体" w:hAnsi="宋体" w:cs="宋体"/>
                <w:szCs w:val="21"/>
              </w:rPr>
              <w:t>（7）流量治理与稳定性</w:t>
            </w:r>
          </w:p>
          <w:p w14:paraId="1B8DCBE2">
            <w:pPr>
              <w:tabs>
                <w:tab w:val="left" w:pos="360"/>
                <w:tab w:val="left" w:pos="540"/>
              </w:tabs>
              <w:spacing w:line="360" w:lineRule="auto"/>
              <w:rPr>
                <w:rFonts w:hint="eastAsia" w:ascii="宋体" w:hAnsi="宋体" w:cs="宋体"/>
                <w:szCs w:val="21"/>
              </w:rPr>
            </w:pPr>
            <w:r>
              <w:rPr>
                <w:rFonts w:hint="eastAsia" w:ascii="宋体" w:hAnsi="宋体" w:cs="宋体"/>
                <w:szCs w:val="21"/>
              </w:rPr>
              <w:t>支持通过QPS、并发数等指标对应用请求进行限流（快速失败、预热启动、排队等待）。</w:t>
            </w:r>
          </w:p>
          <w:p w14:paraId="740AE47F">
            <w:pPr>
              <w:tabs>
                <w:tab w:val="left" w:pos="360"/>
                <w:tab w:val="left" w:pos="540"/>
              </w:tabs>
              <w:spacing w:line="360" w:lineRule="auto"/>
              <w:rPr>
                <w:rFonts w:hint="eastAsia" w:ascii="宋体" w:hAnsi="宋体" w:cs="宋体"/>
                <w:szCs w:val="21"/>
              </w:rPr>
            </w:pPr>
            <w:r>
              <w:rPr>
                <w:rFonts w:hint="eastAsia" w:ascii="宋体" w:hAnsi="宋体" w:cs="宋体"/>
                <w:szCs w:val="21"/>
              </w:rPr>
              <w:t>支持熔断降级：通过慢请求比例、异常比例、异常数等阈值熔断Web接口请求。</w:t>
            </w:r>
          </w:p>
          <w:p w14:paraId="28971BD6">
            <w:pPr>
              <w:tabs>
                <w:tab w:val="left" w:pos="360"/>
                <w:tab w:val="left" w:pos="540"/>
              </w:tabs>
              <w:spacing w:line="360" w:lineRule="auto"/>
              <w:rPr>
                <w:rFonts w:hint="eastAsia" w:ascii="宋体" w:hAnsi="宋体" w:cs="宋体"/>
                <w:szCs w:val="21"/>
              </w:rPr>
            </w:pPr>
            <w:r>
              <w:rPr>
                <w:rFonts w:hint="eastAsia" w:ascii="宋体" w:hAnsi="宋体" w:cs="宋体"/>
                <w:szCs w:val="21"/>
              </w:rPr>
              <w:t>支持线程池分组：定义重要和普通业务，分开处理保障重要业务性能和稳定性。</w:t>
            </w:r>
          </w:p>
          <w:p w14:paraId="306A7967">
            <w:pPr>
              <w:tabs>
                <w:tab w:val="left" w:pos="360"/>
                <w:tab w:val="left" w:pos="540"/>
              </w:tabs>
              <w:spacing w:line="360" w:lineRule="auto"/>
              <w:rPr>
                <w:rFonts w:hint="eastAsia" w:ascii="宋体" w:hAnsi="宋体" w:cs="宋体"/>
                <w:szCs w:val="21"/>
              </w:rPr>
            </w:pPr>
            <w:r>
              <w:rPr>
                <w:rFonts w:hint="eastAsia" w:ascii="宋体" w:hAnsi="宋体" w:cs="宋体"/>
                <w:szCs w:val="21"/>
              </w:rPr>
              <w:t>支持自动发现WEB接口资源，提供限流、熔断降级和系统自保护机制。</w:t>
            </w:r>
          </w:p>
          <w:p w14:paraId="6210DF9E">
            <w:pPr>
              <w:tabs>
                <w:tab w:val="left" w:pos="360"/>
                <w:tab w:val="left" w:pos="540"/>
              </w:tabs>
              <w:spacing w:line="360" w:lineRule="auto"/>
              <w:rPr>
                <w:rFonts w:hint="eastAsia" w:ascii="宋体" w:hAnsi="宋体" w:cs="宋体"/>
                <w:szCs w:val="21"/>
              </w:rPr>
            </w:pPr>
            <w:r>
              <w:rPr>
                <w:rFonts w:hint="eastAsia" w:ascii="宋体" w:hAnsi="宋体" w:cs="宋体"/>
                <w:szCs w:val="21"/>
              </w:rPr>
              <w:t>（8）安全增强要求</w:t>
            </w:r>
          </w:p>
          <w:p w14:paraId="03436213">
            <w:pPr>
              <w:tabs>
                <w:tab w:val="left" w:pos="360"/>
                <w:tab w:val="left" w:pos="540"/>
              </w:tabs>
              <w:spacing w:line="360" w:lineRule="auto"/>
              <w:rPr>
                <w:szCs w:val="21"/>
              </w:rPr>
            </w:pPr>
            <w:r>
              <w:rPr>
                <w:rFonts w:hint="eastAsia" w:ascii="宋体" w:hAnsi="宋体" w:cs="宋体"/>
                <w:szCs w:val="21"/>
              </w:rPr>
              <w:t>支持安全防护统计功能，包含攻击次数、攻击类型分布、Top10攻击来源、Top10被攻击URL等信息。</w:t>
            </w:r>
          </w:p>
        </w:tc>
        <w:tc>
          <w:tcPr>
            <w:tcW w:w="388" w:type="pct"/>
            <w:vAlign w:val="center"/>
          </w:tcPr>
          <w:p w14:paraId="22C27126">
            <w:pPr>
              <w:jc w:val="center"/>
              <w:rPr>
                <w:szCs w:val="21"/>
              </w:rPr>
            </w:pPr>
            <w:r>
              <w:rPr>
                <w:rFonts w:hint="eastAsia"/>
                <w:szCs w:val="21"/>
              </w:rPr>
              <w:t>套</w:t>
            </w:r>
          </w:p>
        </w:tc>
        <w:tc>
          <w:tcPr>
            <w:tcW w:w="252" w:type="pct"/>
            <w:vAlign w:val="center"/>
          </w:tcPr>
          <w:p w14:paraId="314CA0F9">
            <w:pPr>
              <w:jc w:val="center"/>
              <w:rPr>
                <w:szCs w:val="21"/>
              </w:rPr>
            </w:pPr>
            <w:r>
              <w:rPr>
                <w:rFonts w:hint="eastAsia"/>
                <w:szCs w:val="21"/>
              </w:rPr>
              <w:t>3</w:t>
            </w:r>
          </w:p>
        </w:tc>
      </w:tr>
      <w:tr w14:paraId="0D3F7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 w:type="pct"/>
            <w:vAlign w:val="center"/>
          </w:tcPr>
          <w:p w14:paraId="1C3C77FC">
            <w:pPr>
              <w:jc w:val="center"/>
              <w:rPr>
                <w:rFonts w:hint="eastAsia"/>
                <w:szCs w:val="21"/>
              </w:rPr>
            </w:pPr>
            <w:r>
              <w:rPr>
                <w:rFonts w:hint="eastAsia"/>
                <w:szCs w:val="21"/>
              </w:rPr>
              <w:t>3</w:t>
            </w:r>
          </w:p>
        </w:tc>
        <w:tc>
          <w:tcPr>
            <w:tcW w:w="528" w:type="pct"/>
            <w:vAlign w:val="center"/>
          </w:tcPr>
          <w:p w14:paraId="56D3D084">
            <w:pPr>
              <w:jc w:val="center"/>
              <w:rPr>
                <w:rFonts w:hint="eastAsia"/>
                <w:szCs w:val="21"/>
              </w:rPr>
            </w:pPr>
            <w:r>
              <w:rPr>
                <w:rFonts w:hint="eastAsia"/>
                <w:szCs w:val="21"/>
              </w:rPr>
              <w:t>通用服务器</w:t>
            </w:r>
          </w:p>
        </w:tc>
        <w:tc>
          <w:tcPr>
            <w:tcW w:w="3581" w:type="pct"/>
            <w:vAlign w:val="center"/>
          </w:tcPr>
          <w:p w14:paraId="16F34D38">
            <w:pPr>
              <w:tabs>
                <w:tab w:val="left" w:pos="360"/>
                <w:tab w:val="left" w:pos="540"/>
              </w:tabs>
              <w:spacing w:line="360" w:lineRule="auto"/>
              <w:rPr>
                <w:rFonts w:hint="eastAsia" w:ascii="宋体" w:hAnsi="宋体" w:cs="宋体"/>
                <w:szCs w:val="21"/>
              </w:rPr>
            </w:pPr>
            <w:r>
              <w:rPr>
                <w:rFonts w:hint="eastAsia" w:ascii="宋体" w:hAnsi="宋体" w:cs="宋体"/>
                <w:szCs w:val="21"/>
              </w:rPr>
              <w:t>全部指标详细见下表1《通用服务器需求参数详情》，全部参数满足《通用服务器政府采购需求标准（2023年版）》（财库[2023]33号）中的全部标注“*”规定。</w:t>
            </w:r>
          </w:p>
        </w:tc>
        <w:tc>
          <w:tcPr>
            <w:tcW w:w="388" w:type="pct"/>
            <w:vAlign w:val="center"/>
          </w:tcPr>
          <w:p w14:paraId="0EE61B17">
            <w:pPr>
              <w:jc w:val="center"/>
              <w:rPr>
                <w:rFonts w:hint="eastAsia"/>
                <w:szCs w:val="21"/>
              </w:rPr>
            </w:pPr>
            <w:r>
              <w:rPr>
                <w:rFonts w:hint="eastAsia"/>
                <w:szCs w:val="21"/>
              </w:rPr>
              <w:t>台</w:t>
            </w:r>
          </w:p>
        </w:tc>
        <w:tc>
          <w:tcPr>
            <w:tcW w:w="252" w:type="pct"/>
            <w:vAlign w:val="center"/>
          </w:tcPr>
          <w:p w14:paraId="2CA9E83F">
            <w:pPr>
              <w:jc w:val="center"/>
              <w:rPr>
                <w:rFonts w:hint="eastAsia"/>
                <w:szCs w:val="21"/>
              </w:rPr>
            </w:pPr>
            <w:r>
              <w:rPr>
                <w:rFonts w:hint="eastAsia"/>
                <w:szCs w:val="21"/>
              </w:rPr>
              <w:t>3</w:t>
            </w:r>
          </w:p>
        </w:tc>
      </w:tr>
      <w:tr w14:paraId="7108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 w:type="pct"/>
            <w:vAlign w:val="center"/>
          </w:tcPr>
          <w:p w14:paraId="3BA582CD">
            <w:pPr>
              <w:jc w:val="center"/>
              <w:rPr>
                <w:rFonts w:hint="eastAsia"/>
                <w:szCs w:val="21"/>
              </w:rPr>
            </w:pPr>
            <w:r>
              <w:rPr>
                <w:rFonts w:hint="eastAsia"/>
                <w:szCs w:val="21"/>
              </w:rPr>
              <w:t>4</w:t>
            </w:r>
          </w:p>
        </w:tc>
        <w:tc>
          <w:tcPr>
            <w:tcW w:w="528" w:type="pct"/>
          </w:tcPr>
          <w:p w14:paraId="5797B3CF">
            <w:pPr>
              <w:jc w:val="center"/>
              <w:rPr>
                <w:rFonts w:hint="eastAsia"/>
                <w:szCs w:val="21"/>
              </w:rPr>
            </w:pPr>
            <w:r>
              <w:rPr>
                <w:rFonts w:hint="eastAsia"/>
              </w:rPr>
              <w:t>集中式数据库</w:t>
            </w:r>
          </w:p>
        </w:tc>
        <w:tc>
          <w:tcPr>
            <w:tcW w:w="3581" w:type="pct"/>
          </w:tcPr>
          <w:p w14:paraId="71D9F505">
            <w:pPr>
              <w:tabs>
                <w:tab w:val="left" w:pos="360"/>
                <w:tab w:val="left" w:pos="540"/>
              </w:tabs>
              <w:spacing w:line="360" w:lineRule="auto"/>
              <w:rPr>
                <w:rFonts w:hint="eastAsia" w:ascii="宋体" w:hAnsi="宋体" w:cs="宋体"/>
                <w:szCs w:val="21"/>
              </w:rPr>
            </w:pPr>
            <w:r>
              <w:rPr>
                <w:rFonts w:hint="eastAsia" w:ascii="宋体" w:hAnsi="宋体" w:cs="宋体"/>
                <w:szCs w:val="21"/>
              </w:rPr>
              <w:t>全部指标详细见下表2《集中式数据库需求参数详情》，全部</w:t>
            </w:r>
            <w:r>
              <w:t>参数满足《数据库政府采购需求标准（2023年版）》（财库[2023]35号）中的全部标注“*”规定。</w:t>
            </w:r>
          </w:p>
        </w:tc>
        <w:tc>
          <w:tcPr>
            <w:tcW w:w="388" w:type="pct"/>
            <w:vAlign w:val="center"/>
          </w:tcPr>
          <w:p w14:paraId="5199C570">
            <w:pPr>
              <w:jc w:val="center"/>
              <w:rPr>
                <w:rFonts w:hint="eastAsia"/>
                <w:szCs w:val="21"/>
              </w:rPr>
            </w:pPr>
            <w:r>
              <w:rPr>
                <w:rFonts w:hint="eastAsia"/>
                <w:szCs w:val="21"/>
              </w:rPr>
              <w:t>套</w:t>
            </w:r>
          </w:p>
        </w:tc>
        <w:tc>
          <w:tcPr>
            <w:tcW w:w="252" w:type="pct"/>
            <w:vAlign w:val="center"/>
          </w:tcPr>
          <w:p w14:paraId="13384703">
            <w:pPr>
              <w:jc w:val="center"/>
              <w:rPr>
                <w:rFonts w:hint="eastAsia"/>
                <w:szCs w:val="21"/>
              </w:rPr>
            </w:pPr>
            <w:r>
              <w:rPr>
                <w:rFonts w:hint="eastAsia"/>
                <w:szCs w:val="21"/>
              </w:rPr>
              <w:t>1</w:t>
            </w:r>
          </w:p>
        </w:tc>
      </w:tr>
    </w:tbl>
    <w:p w14:paraId="0B9A6177">
      <w:pPr>
        <w:spacing w:line="360" w:lineRule="auto"/>
        <w:ind w:firstLine="480" w:firstLineChars="200"/>
        <w:outlineLvl w:val="0"/>
        <w:rPr>
          <w:sz w:val="24"/>
        </w:rPr>
      </w:pPr>
    </w:p>
    <w:p w14:paraId="4F548453">
      <w:pPr>
        <w:spacing w:line="360" w:lineRule="auto"/>
        <w:ind w:firstLine="480" w:firstLineChars="200"/>
        <w:outlineLvl w:val="0"/>
        <w:rPr>
          <w:sz w:val="24"/>
        </w:rPr>
        <w:sectPr>
          <w:pgSz w:w="11906" w:h="16838"/>
          <w:pgMar w:top="1440" w:right="1800" w:bottom="1440" w:left="1800" w:header="851" w:footer="992" w:gutter="0"/>
          <w:cols w:space="720" w:num="1"/>
          <w:docGrid w:type="lines" w:linePitch="312" w:charSpace="0"/>
        </w:sectPr>
      </w:pPr>
    </w:p>
    <w:p w14:paraId="53548C6B">
      <w:pPr>
        <w:tabs>
          <w:tab w:val="left" w:pos="360"/>
          <w:tab w:val="left" w:pos="540"/>
        </w:tabs>
        <w:spacing w:line="360" w:lineRule="auto"/>
        <w:rPr>
          <w:rFonts w:ascii="宋体" w:hAnsi="宋体" w:cs="宋体"/>
          <w:szCs w:val="21"/>
        </w:rPr>
      </w:pPr>
      <w:r>
        <w:rPr>
          <w:rFonts w:hint="eastAsia" w:ascii="宋体" w:hAnsi="宋体" w:cs="宋体"/>
          <w:szCs w:val="21"/>
        </w:rPr>
        <w:t>表1 通用服务器需求参数详情</w:t>
      </w:r>
    </w:p>
    <w:tbl>
      <w:tblPr>
        <w:tblStyle w:val="15"/>
        <w:tblW w:w="12700" w:type="dxa"/>
        <w:tblInd w:w="113" w:type="dxa"/>
        <w:tblLayout w:type="autofit"/>
        <w:tblCellMar>
          <w:top w:w="0" w:type="dxa"/>
          <w:left w:w="108" w:type="dxa"/>
          <w:bottom w:w="0" w:type="dxa"/>
          <w:right w:w="108" w:type="dxa"/>
        </w:tblCellMar>
      </w:tblPr>
      <w:tblGrid>
        <w:gridCol w:w="486"/>
        <w:gridCol w:w="1219"/>
        <w:gridCol w:w="820"/>
        <w:gridCol w:w="1320"/>
        <w:gridCol w:w="8855"/>
      </w:tblGrid>
      <w:tr w14:paraId="380AD617">
        <w:tblPrEx>
          <w:tblCellMar>
            <w:top w:w="0" w:type="dxa"/>
            <w:left w:w="108" w:type="dxa"/>
            <w:bottom w:w="0" w:type="dxa"/>
            <w:right w:w="108" w:type="dxa"/>
          </w:tblCellMar>
        </w:tblPrEx>
        <w:trPr>
          <w:trHeight w:val="232" w:hRule="atLeast"/>
        </w:trPr>
        <w:tc>
          <w:tcPr>
            <w:tcW w:w="480" w:type="dxa"/>
            <w:tcBorders>
              <w:top w:val="single" w:color="auto" w:sz="4" w:space="0"/>
              <w:left w:val="single" w:color="auto" w:sz="4" w:space="0"/>
              <w:bottom w:val="single" w:color="auto" w:sz="4" w:space="0"/>
              <w:right w:val="single" w:color="auto" w:sz="4" w:space="0"/>
            </w:tcBorders>
            <w:vAlign w:val="center"/>
          </w:tcPr>
          <w:p w14:paraId="6D9BB8CA">
            <w:pPr>
              <w:widowControl/>
              <w:jc w:val="center"/>
              <w:rPr>
                <w:rFonts w:ascii="宋体" w:hAnsi="宋体"/>
                <w:kern w:val="0"/>
                <w:sz w:val="18"/>
                <w:szCs w:val="18"/>
              </w:rPr>
            </w:pPr>
            <w:r>
              <w:rPr>
                <w:rFonts w:ascii="宋体" w:hAnsi="宋体"/>
                <w:kern w:val="0"/>
                <w:sz w:val="18"/>
                <w:szCs w:val="18"/>
              </w:rPr>
              <w:t>1</w:t>
            </w:r>
          </w:p>
        </w:tc>
        <w:tc>
          <w:tcPr>
            <w:tcW w:w="1220" w:type="dxa"/>
            <w:tcBorders>
              <w:top w:val="single" w:color="auto" w:sz="4" w:space="0"/>
              <w:left w:val="nil"/>
              <w:bottom w:val="single" w:color="auto" w:sz="4" w:space="0"/>
              <w:right w:val="single" w:color="auto" w:sz="4" w:space="0"/>
            </w:tcBorders>
            <w:vAlign w:val="center"/>
          </w:tcPr>
          <w:p w14:paraId="0A0D0802">
            <w:pPr>
              <w:widowControl/>
              <w:jc w:val="left"/>
              <w:rPr>
                <w:rFonts w:ascii="宋体" w:hAnsi="宋体"/>
                <w:kern w:val="0"/>
                <w:sz w:val="18"/>
                <w:szCs w:val="18"/>
              </w:rPr>
            </w:pPr>
            <w:r>
              <w:rPr>
                <w:rFonts w:ascii="宋体" w:hAnsi="宋体"/>
                <w:kern w:val="0"/>
                <w:sz w:val="18"/>
                <w:szCs w:val="18"/>
              </w:rPr>
              <w:t xml:space="preserve">  产品规格</w:t>
            </w:r>
          </w:p>
        </w:tc>
        <w:tc>
          <w:tcPr>
            <w:tcW w:w="820" w:type="dxa"/>
            <w:tcBorders>
              <w:top w:val="single" w:color="auto" w:sz="4" w:space="0"/>
              <w:left w:val="nil"/>
              <w:bottom w:val="single" w:color="auto" w:sz="4" w:space="0"/>
              <w:right w:val="single" w:color="auto" w:sz="4" w:space="0"/>
            </w:tcBorders>
            <w:vAlign w:val="center"/>
          </w:tcPr>
          <w:p w14:paraId="30F8FA7C">
            <w:pPr>
              <w:widowControl/>
              <w:jc w:val="center"/>
              <w:rPr>
                <w:rFonts w:ascii="宋体" w:hAnsi="宋体"/>
                <w:kern w:val="0"/>
                <w:sz w:val="18"/>
                <w:szCs w:val="18"/>
              </w:rPr>
            </w:pPr>
            <w:r>
              <w:rPr>
                <w:rFonts w:ascii="宋体" w:hAnsi="宋体"/>
                <w:kern w:val="0"/>
                <w:sz w:val="18"/>
                <w:szCs w:val="18"/>
              </w:rPr>
              <w:t>CPU规格</w:t>
            </w:r>
          </w:p>
        </w:tc>
        <w:tc>
          <w:tcPr>
            <w:tcW w:w="1320" w:type="dxa"/>
            <w:tcBorders>
              <w:top w:val="single" w:color="auto" w:sz="4" w:space="0"/>
              <w:left w:val="nil"/>
              <w:bottom w:val="single" w:color="auto" w:sz="4" w:space="0"/>
              <w:right w:val="single" w:color="auto" w:sz="4" w:space="0"/>
            </w:tcBorders>
            <w:vAlign w:val="center"/>
          </w:tcPr>
          <w:p w14:paraId="5AAE4501">
            <w:pPr>
              <w:widowControl/>
              <w:jc w:val="left"/>
              <w:rPr>
                <w:rFonts w:ascii="宋体" w:hAnsi="宋体"/>
                <w:kern w:val="0"/>
                <w:sz w:val="18"/>
                <w:szCs w:val="18"/>
              </w:rPr>
            </w:pPr>
            <w:r>
              <w:rPr>
                <w:rFonts w:ascii="宋体" w:hAnsi="宋体"/>
                <w:kern w:val="0"/>
                <w:sz w:val="18"/>
                <w:szCs w:val="18"/>
              </w:rPr>
              <w:t>★CPU信息</w:t>
            </w:r>
          </w:p>
        </w:tc>
        <w:tc>
          <w:tcPr>
            <w:tcW w:w="8860" w:type="dxa"/>
            <w:tcBorders>
              <w:top w:val="single" w:color="auto" w:sz="4" w:space="0"/>
              <w:left w:val="nil"/>
              <w:bottom w:val="single" w:color="auto" w:sz="4" w:space="0"/>
              <w:right w:val="single" w:color="auto" w:sz="4" w:space="0"/>
            </w:tcBorders>
            <w:vAlign w:val="center"/>
          </w:tcPr>
          <w:p w14:paraId="6A9A2F06">
            <w:pPr>
              <w:widowControl/>
              <w:jc w:val="left"/>
              <w:rPr>
                <w:rFonts w:ascii="宋体" w:hAnsi="宋体"/>
                <w:kern w:val="0"/>
                <w:sz w:val="18"/>
                <w:szCs w:val="18"/>
              </w:rPr>
            </w:pPr>
            <w:r>
              <w:rPr>
                <w:rFonts w:ascii="宋体" w:hAnsi="宋体"/>
                <w:kern w:val="0"/>
                <w:sz w:val="18"/>
                <w:szCs w:val="18"/>
              </w:rPr>
              <w:t>2颗CPU,单颗物理核心数≥32核，主频≥2.6GHz，功耗≤115W；</w:t>
            </w:r>
          </w:p>
        </w:tc>
      </w:tr>
      <w:tr w14:paraId="44417A11">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12C41330">
            <w:pPr>
              <w:widowControl/>
              <w:jc w:val="center"/>
              <w:rPr>
                <w:rFonts w:ascii="宋体" w:hAnsi="宋体"/>
                <w:kern w:val="0"/>
                <w:sz w:val="18"/>
                <w:szCs w:val="18"/>
              </w:rPr>
            </w:pPr>
            <w:r>
              <w:rPr>
                <w:rFonts w:ascii="宋体" w:hAnsi="宋体"/>
                <w:kern w:val="0"/>
                <w:sz w:val="18"/>
                <w:szCs w:val="18"/>
              </w:rPr>
              <w:t>2</w:t>
            </w:r>
          </w:p>
        </w:tc>
        <w:tc>
          <w:tcPr>
            <w:tcW w:w="1220" w:type="dxa"/>
            <w:tcBorders>
              <w:top w:val="nil"/>
              <w:left w:val="nil"/>
              <w:bottom w:val="single" w:color="auto" w:sz="4" w:space="0"/>
              <w:right w:val="single" w:color="auto" w:sz="4" w:space="0"/>
            </w:tcBorders>
            <w:vAlign w:val="center"/>
          </w:tcPr>
          <w:p w14:paraId="0720E252">
            <w:pPr>
              <w:widowControl/>
              <w:jc w:val="left"/>
              <w:rPr>
                <w:rFonts w:ascii="宋体" w:hAnsi="宋体"/>
                <w:kern w:val="0"/>
                <w:sz w:val="18"/>
                <w:szCs w:val="18"/>
              </w:rPr>
            </w:pPr>
            <w:r>
              <w:rPr>
                <w:rFonts w:ascii="宋体" w:hAnsi="宋体"/>
                <w:kern w:val="0"/>
                <w:sz w:val="18"/>
                <w:szCs w:val="18"/>
              </w:rPr>
              <w:t xml:space="preserve">  产品规格</w:t>
            </w:r>
          </w:p>
        </w:tc>
        <w:tc>
          <w:tcPr>
            <w:tcW w:w="820" w:type="dxa"/>
            <w:vMerge w:val="restart"/>
            <w:tcBorders>
              <w:top w:val="nil"/>
              <w:left w:val="single" w:color="auto" w:sz="4" w:space="0"/>
              <w:bottom w:val="single" w:color="auto" w:sz="4" w:space="0"/>
              <w:right w:val="single" w:color="auto" w:sz="4" w:space="0"/>
            </w:tcBorders>
            <w:vAlign w:val="center"/>
          </w:tcPr>
          <w:p w14:paraId="13971B04">
            <w:pPr>
              <w:widowControl/>
              <w:jc w:val="center"/>
              <w:rPr>
                <w:rFonts w:ascii="宋体" w:hAnsi="宋体"/>
                <w:kern w:val="0"/>
                <w:sz w:val="18"/>
                <w:szCs w:val="18"/>
              </w:rPr>
            </w:pPr>
            <w:r>
              <w:rPr>
                <w:rFonts w:ascii="宋体" w:hAnsi="宋体"/>
                <w:kern w:val="0"/>
                <w:sz w:val="18"/>
                <w:szCs w:val="18"/>
              </w:rPr>
              <w:t>主板规格</w:t>
            </w:r>
          </w:p>
        </w:tc>
        <w:tc>
          <w:tcPr>
            <w:tcW w:w="1320" w:type="dxa"/>
            <w:tcBorders>
              <w:top w:val="nil"/>
              <w:left w:val="nil"/>
              <w:bottom w:val="single" w:color="auto" w:sz="4" w:space="0"/>
              <w:right w:val="single" w:color="auto" w:sz="4" w:space="0"/>
            </w:tcBorders>
            <w:vAlign w:val="center"/>
          </w:tcPr>
          <w:p w14:paraId="26F416E9">
            <w:pPr>
              <w:widowControl/>
              <w:jc w:val="left"/>
              <w:rPr>
                <w:rFonts w:ascii="宋体" w:hAnsi="宋体"/>
                <w:kern w:val="0"/>
                <w:sz w:val="18"/>
                <w:szCs w:val="18"/>
              </w:rPr>
            </w:pPr>
            <w:r>
              <w:rPr>
                <w:rFonts w:ascii="宋体" w:hAnsi="宋体"/>
                <w:kern w:val="0"/>
                <w:sz w:val="18"/>
                <w:szCs w:val="18"/>
              </w:rPr>
              <w:t>★主板支持的CPU和内存情况</w:t>
            </w:r>
          </w:p>
        </w:tc>
        <w:tc>
          <w:tcPr>
            <w:tcW w:w="8860" w:type="dxa"/>
            <w:tcBorders>
              <w:top w:val="nil"/>
              <w:left w:val="nil"/>
              <w:bottom w:val="single" w:color="auto" w:sz="4" w:space="0"/>
              <w:right w:val="single" w:color="auto" w:sz="4" w:space="0"/>
            </w:tcBorders>
            <w:vAlign w:val="center"/>
          </w:tcPr>
          <w:p w14:paraId="7D1FB3CB">
            <w:pPr>
              <w:widowControl/>
              <w:jc w:val="left"/>
              <w:rPr>
                <w:rFonts w:ascii="宋体" w:hAnsi="宋体"/>
                <w:kern w:val="0"/>
                <w:sz w:val="18"/>
                <w:szCs w:val="18"/>
              </w:rPr>
            </w:pPr>
            <w:r>
              <w:rPr>
                <w:rFonts w:ascii="宋体" w:hAnsi="宋体"/>
                <w:kern w:val="0"/>
                <w:sz w:val="18"/>
                <w:szCs w:val="18"/>
              </w:rPr>
              <w:t>主板支持2颗物理核心数≥32核处理器，32/16个DDR4内存插槽；</w:t>
            </w:r>
          </w:p>
        </w:tc>
      </w:tr>
      <w:tr w14:paraId="1D5B8677">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1EF4B9D1">
            <w:pPr>
              <w:widowControl/>
              <w:jc w:val="center"/>
              <w:rPr>
                <w:rFonts w:ascii="宋体" w:hAnsi="宋体"/>
                <w:kern w:val="0"/>
                <w:sz w:val="18"/>
                <w:szCs w:val="18"/>
              </w:rPr>
            </w:pPr>
            <w:r>
              <w:rPr>
                <w:rFonts w:ascii="宋体" w:hAnsi="宋体"/>
                <w:kern w:val="0"/>
                <w:sz w:val="18"/>
                <w:szCs w:val="18"/>
              </w:rPr>
              <w:t>3</w:t>
            </w:r>
          </w:p>
        </w:tc>
        <w:tc>
          <w:tcPr>
            <w:tcW w:w="1220" w:type="dxa"/>
            <w:tcBorders>
              <w:top w:val="nil"/>
              <w:left w:val="nil"/>
              <w:bottom w:val="single" w:color="auto" w:sz="4" w:space="0"/>
              <w:right w:val="single" w:color="auto" w:sz="4" w:space="0"/>
            </w:tcBorders>
            <w:vAlign w:val="center"/>
          </w:tcPr>
          <w:p w14:paraId="2D894006">
            <w:pPr>
              <w:widowControl/>
              <w:jc w:val="left"/>
              <w:rPr>
                <w:rFonts w:ascii="宋体" w:hAnsi="宋体"/>
                <w:kern w:val="0"/>
                <w:sz w:val="18"/>
                <w:szCs w:val="18"/>
              </w:rPr>
            </w:pPr>
            <w:r>
              <w:rPr>
                <w:rFonts w:ascii="宋体" w:hAnsi="宋体"/>
                <w:kern w:val="0"/>
                <w:sz w:val="18"/>
                <w:szCs w:val="18"/>
              </w:rPr>
              <w:t xml:space="preserve">  产品规格</w:t>
            </w:r>
          </w:p>
        </w:tc>
        <w:tc>
          <w:tcPr>
            <w:tcW w:w="820" w:type="dxa"/>
            <w:vMerge w:val="continue"/>
            <w:tcBorders>
              <w:top w:val="nil"/>
              <w:left w:val="single" w:color="auto" w:sz="4" w:space="0"/>
              <w:bottom w:val="single" w:color="auto" w:sz="4" w:space="0"/>
              <w:right w:val="single" w:color="auto" w:sz="4" w:space="0"/>
            </w:tcBorders>
            <w:vAlign w:val="center"/>
          </w:tcPr>
          <w:p w14:paraId="0569E965">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4B2B788B">
            <w:pPr>
              <w:widowControl/>
              <w:jc w:val="left"/>
              <w:rPr>
                <w:rFonts w:ascii="宋体" w:hAnsi="宋体"/>
                <w:kern w:val="0"/>
                <w:sz w:val="18"/>
                <w:szCs w:val="18"/>
              </w:rPr>
            </w:pPr>
            <w:r>
              <w:rPr>
                <w:rFonts w:ascii="宋体" w:hAnsi="宋体"/>
                <w:kern w:val="0"/>
                <w:sz w:val="18"/>
                <w:szCs w:val="18"/>
              </w:rPr>
              <w:t>★主板内存槽数量</w:t>
            </w:r>
          </w:p>
        </w:tc>
        <w:tc>
          <w:tcPr>
            <w:tcW w:w="8860" w:type="dxa"/>
            <w:tcBorders>
              <w:top w:val="nil"/>
              <w:left w:val="nil"/>
              <w:bottom w:val="single" w:color="auto" w:sz="4" w:space="0"/>
              <w:right w:val="single" w:color="auto" w:sz="4" w:space="0"/>
            </w:tcBorders>
            <w:vAlign w:val="center"/>
          </w:tcPr>
          <w:p w14:paraId="5DBC56D1">
            <w:pPr>
              <w:widowControl/>
              <w:jc w:val="left"/>
              <w:rPr>
                <w:rFonts w:ascii="宋体" w:hAnsi="宋体"/>
                <w:kern w:val="0"/>
                <w:sz w:val="18"/>
                <w:szCs w:val="18"/>
              </w:rPr>
            </w:pPr>
            <w:r>
              <w:rPr>
                <w:rFonts w:ascii="宋体" w:hAnsi="宋体"/>
                <w:kern w:val="0"/>
                <w:sz w:val="18"/>
                <w:szCs w:val="18"/>
              </w:rPr>
              <w:t>32/16个DDR4内存插槽；</w:t>
            </w:r>
          </w:p>
        </w:tc>
      </w:tr>
      <w:tr w14:paraId="168F178C">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5B424458">
            <w:pPr>
              <w:widowControl/>
              <w:jc w:val="center"/>
              <w:rPr>
                <w:rFonts w:ascii="宋体" w:hAnsi="宋体"/>
                <w:kern w:val="0"/>
                <w:sz w:val="18"/>
                <w:szCs w:val="18"/>
              </w:rPr>
            </w:pPr>
            <w:r>
              <w:rPr>
                <w:rFonts w:ascii="宋体" w:hAnsi="宋体"/>
                <w:kern w:val="0"/>
                <w:sz w:val="18"/>
                <w:szCs w:val="18"/>
              </w:rPr>
              <w:t>4</w:t>
            </w:r>
          </w:p>
        </w:tc>
        <w:tc>
          <w:tcPr>
            <w:tcW w:w="1220" w:type="dxa"/>
            <w:tcBorders>
              <w:top w:val="nil"/>
              <w:left w:val="nil"/>
              <w:bottom w:val="single" w:color="auto" w:sz="4" w:space="0"/>
              <w:right w:val="single" w:color="auto" w:sz="4" w:space="0"/>
            </w:tcBorders>
            <w:vAlign w:val="center"/>
          </w:tcPr>
          <w:p w14:paraId="1844B7E4">
            <w:pPr>
              <w:widowControl/>
              <w:jc w:val="left"/>
              <w:rPr>
                <w:rFonts w:ascii="宋体" w:hAnsi="宋体"/>
                <w:kern w:val="0"/>
                <w:sz w:val="18"/>
                <w:szCs w:val="18"/>
              </w:rPr>
            </w:pPr>
            <w:r>
              <w:rPr>
                <w:rFonts w:ascii="宋体" w:hAnsi="宋体"/>
                <w:kern w:val="0"/>
                <w:sz w:val="18"/>
                <w:szCs w:val="18"/>
              </w:rPr>
              <w:t xml:space="preserve">  产品规格</w:t>
            </w:r>
          </w:p>
        </w:tc>
        <w:tc>
          <w:tcPr>
            <w:tcW w:w="820" w:type="dxa"/>
            <w:vMerge w:val="continue"/>
            <w:tcBorders>
              <w:top w:val="nil"/>
              <w:left w:val="single" w:color="auto" w:sz="4" w:space="0"/>
              <w:bottom w:val="single" w:color="auto" w:sz="4" w:space="0"/>
              <w:right w:val="single" w:color="auto" w:sz="4" w:space="0"/>
            </w:tcBorders>
            <w:vAlign w:val="center"/>
          </w:tcPr>
          <w:p w14:paraId="1F4F6A17">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44A5BA0A">
            <w:pPr>
              <w:widowControl/>
              <w:jc w:val="left"/>
              <w:rPr>
                <w:rFonts w:ascii="宋体" w:hAnsi="宋体"/>
                <w:kern w:val="0"/>
                <w:sz w:val="18"/>
                <w:szCs w:val="18"/>
              </w:rPr>
            </w:pPr>
            <w:r>
              <w:rPr>
                <w:rFonts w:ascii="宋体" w:hAnsi="宋体"/>
                <w:kern w:val="0"/>
                <w:sz w:val="18"/>
                <w:szCs w:val="18"/>
              </w:rPr>
              <w:t>★主板存储接口</w:t>
            </w:r>
          </w:p>
        </w:tc>
        <w:tc>
          <w:tcPr>
            <w:tcW w:w="8860" w:type="dxa"/>
            <w:tcBorders>
              <w:top w:val="nil"/>
              <w:left w:val="nil"/>
              <w:bottom w:val="single" w:color="auto" w:sz="4" w:space="0"/>
              <w:right w:val="single" w:color="auto" w:sz="4" w:space="0"/>
            </w:tcBorders>
            <w:vAlign w:val="center"/>
          </w:tcPr>
          <w:p w14:paraId="24DEE8A0">
            <w:pPr>
              <w:widowControl/>
              <w:jc w:val="left"/>
              <w:rPr>
                <w:rFonts w:ascii="宋体" w:hAnsi="宋体"/>
                <w:kern w:val="0"/>
                <w:sz w:val="18"/>
                <w:szCs w:val="18"/>
              </w:rPr>
            </w:pPr>
            <w:r>
              <w:rPr>
                <w:rFonts w:ascii="宋体" w:hAnsi="宋体"/>
                <w:kern w:val="0"/>
                <w:sz w:val="18"/>
                <w:szCs w:val="18"/>
              </w:rPr>
              <w:t>支持SATA、SAS、U.2等存储接口</w:t>
            </w:r>
          </w:p>
        </w:tc>
      </w:tr>
      <w:tr w14:paraId="12597405">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0A870C09">
            <w:pPr>
              <w:widowControl/>
              <w:jc w:val="center"/>
              <w:rPr>
                <w:rFonts w:ascii="宋体" w:hAnsi="宋体"/>
                <w:kern w:val="0"/>
                <w:sz w:val="18"/>
                <w:szCs w:val="18"/>
              </w:rPr>
            </w:pPr>
            <w:r>
              <w:rPr>
                <w:rFonts w:ascii="宋体" w:hAnsi="宋体"/>
                <w:kern w:val="0"/>
                <w:sz w:val="18"/>
                <w:szCs w:val="18"/>
              </w:rPr>
              <w:t>5</w:t>
            </w:r>
          </w:p>
        </w:tc>
        <w:tc>
          <w:tcPr>
            <w:tcW w:w="1220" w:type="dxa"/>
            <w:tcBorders>
              <w:top w:val="nil"/>
              <w:left w:val="nil"/>
              <w:bottom w:val="single" w:color="auto" w:sz="4" w:space="0"/>
              <w:right w:val="single" w:color="auto" w:sz="4" w:space="0"/>
            </w:tcBorders>
            <w:vAlign w:val="center"/>
          </w:tcPr>
          <w:p w14:paraId="79E57541">
            <w:pPr>
              <w:widowControl/>
              <w:jc w:val="left"/>
              <w:rPr>
                <w:rFonts w:ascii="宋体" w:hAnsi="宋体"/>
                <w:kern w:val="0"/>
                <w:sz w:val="18"/>
                <w:szCs w:val="18"/>
              </w:rPr>
            </w:pPr>
            <w:r>
              <w:rPr>
                <w:rFonts w:ascii="宋体" w:hAnsi="宋体"/>
                <w:kern w:val="0"/>
                <w:sz w:val="18"/>
                <w:szCs w:val="18"/>
              </w:rPr>
              <w:t xml:space="preserve">  产品规格</w:t>
            </w:r>
          </w:p>
        </w:tc>
        <w:tc>
          <w:tcPr>
            <w:tcW w:w="820" w:type="dxa"/>
            <w:vMerge w:val="continue"/>
            <w:tcBorders>
              <w:top w:val="nil"/>
              <w:left w:val="single" w:color="auto" w:sz="4" w:space="0"/>
              <w:bottom w:val="single" w:color="auto" w:sz="4" w:space="0"/>
              <w:right w:val="single" w:color="auto" w:sz="4" w:space="0"/>
            </w:tcBorders>
            <w:vAlign w:val="center"/>
          </w:tcPr>
          <w:p w14:paraId="72D04375">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3AB8E1A8">
            <w:pPr>
              <w:widowControl/>
              <w:jc w:val="left"/>
              <w:rPr>
                <w:rFonts w:ascii="宋体" w:hAnsi="宋体"/>
                <w:kern w:val="0"/>
                <w:sz w:val="18"/>
                <w:szCs w:val="18"/>
              </w:rPr>
            </w:pPr>
            <w:r>
              <w:rPr>
                <w:rFonts w:ascii="宋体" w:hAnsi="宋体"/>
                <w:kern w:val="0"/>
                <w:sz w:val="18"/>
                <w:szCs w:val="18"/>
              </w:rPr>
              <w:t>★PCIe插槽接口</w:t>
            </w:r>
          </w:p>
        </w:tc>
        <w:tc>
          <w:tcPr>
            <w:tcW w:w="8860" w:type="dxa"/>
            <w:tcBorders>
              <w:top w:val="nil"/>
              <w:left w:val="nil"/>
              <w:bottom w:val="single" w:color="auto" w:sz="4" w:space="0"/>
              <w:right w:val="single" w:color="auto" w:sz="4" w:space="0"/>
            </w:tcBorders>
            <w:vAlign w:val="center"/>
          </w:tcPr>
          <w:p w14:paraId="61B5B123">
            <w:pPr>
              <w:widowControl/>
              <w:jc w:val="left"/>
              <w:rPr>
                <w:rFonts w:ascii="宋体" w:hAnsi="宋体"/>
                <w:kern w:val="0"/>
                <w:sz w:val="18"/>
                <w:szCs w:val="18"/>
              </w:rPr>
            </w:pPr>
            <w:r>
              <w:rPr>
                <w:rFonts w:ascii="宋体" w:hAnsi="宋体"/>
                <w:kern w:val="0"/>
                <w:sz w:val="18"/>
                <w:szCs w:val="18"/>
              </w:rPr>
              <w:t>符合PCIe3.0或以上的高速串行计算机扩展总线标准，PCIe的接口速率与位宽可向下兼容</w:t>
            </w:r>
          </w:p>
        </w:tc>
      </w:tr>
      <w:tr w14:paraId="3CC29AD0">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0CC4914D">
            <w:pPr>
              <w:widowControl/>
              <w:jc w:val="center"/>
              <w:rPr>
                <w:rFonts w:ascii="宋体" w:hAnsi="宋体"/>
                <w:kern w:val="0"/>
                <w:sz w:val="18"/>
                <w:szCs w:val="18"/>
              </w:rPr>
            </w:pPr>
            <w:r>
              <w:rPr>
                <w:rFonts w:ascii="宋体" w:hAnsi="宋体"/>
                <w:kern w:val="0"/>
                <w:sz w:val="18"/>
                <w:szCs w:val="18"/>
              </w:rPr>
              <w:t>6</w:t>
            </w:r>
          </w:p>
        </w:tc>
        <w:tc>
          <w:tcPr>
            <w:tcW w:w="1220" w:type="dxa"/>
            <w:tcBorders>
              <w:top w:val="nil"/>
              <w:left w:val="nil"/>
              <w:bottom w:val="single" w:color="auto" w:sz="4" w:space="0"/>
              <w:right w:val="single" w:color="auto" w:sz="4" w:space="0"/>
            </w:tcBorders>
            <w:vAlign w:val="center"/>
          </w:tcPr>
          <w:p w14:paraId="6C06F443">
            <w:pPr>
              <w:widowControl/>
              <w:jc w:val="left"/>
              <w:rPr>
                <w:rFonts w:ascii="宋体" w:hAnsi="宋体"/>
                <w:kern w:val="0"/>
                <w:sz w:val="18"/>
                <w:szCs w:val="18"/>
              </w:rPr>
            </w:pPr>
            <w:r>
              <w:rPr>
                <w:rFonts w:ascii="宋体" w:hAnsi="宋体"/>
                <w:kern w:val="0"/>
                <w:sz w:val="18"/>
                <w:szCs w:val="18"/>
              </w:rPr>
              <w:t xml:space="preserve">  产品规格</w:t>
            </w:r>
          </w:p>
        </w:tc>
        <w:tc>
          <w:tcPr>
            <w:tcW w:w="820" w:type="dxa"/>
            <w:vMerge w:val="continue"/>
            <w:tcBorders>
              <w:top w:val="nil"/>
              <w:left w:val="single" w:color="auto" w:sz="4" w:space="0"/>
              <w:bottom w:val="single" w:color="auto" w:sz="4" w:space="0"/>
              <w:right w:val="single" w:color="auto" w:sz="4" w:space="0"/>
            </w:tcBorders>
            <w:vAlign w:val="center"/>
          </w:tcPr>
          <w:p w14:paraId="61D59E81">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5B2EB7EB">
            <w:pPr>
              <w:widowControl/>
              <w:jc w:val="left"/>
              <w:rPr>
                <w:rFonts w:ascii="宋体" w:hAnsi="宋体"/>
                <w:kern w:val="0"/>
                <w:sz w:val="18"/>
                <w:szCs w:val="18"/>
              </w:rPr>
            </w:pPr>
            <w:r>
              <w:rPr>
                <w:rFonts w:ascii="宋体" w:hAnsi="宋体"/>
                <w:kern w:val="0"/>
                <w:sz w:val="18"/>
                <w:szCs w:val="18"/>
              </w:rPr>
              <w:t>★主板PCIe插槽数量及规格</w:t>
            </w:r>
          </w:p>
        </w:tc>
        <w:tc>
          <w:tcPr>
            <w:tcW w:w="8860" w:type="dxa"/>
            <w:tcBorders>
              <w:top w:val="nil"/>
              <w:left w:val="nil"/>
              <w:bottom w:val="single" w:color="auto" w:sz="4" w:space="0"/>
              <w:right w:val="single" w:color="auto" w:sz="4" w:space="0"/>
            </w:tcBorders>
            <w:vAlign w:val="center"/>
          </w:tcPr>
          <w:p w14:paraId="2A529248">
            <w:pPr>
              <w:widowControl/>
              <w:jc w:val="left"/>
              <w:rPr>
                <w:rFonts w:ascii="宋体" w:hAnsi="宋体"/>
                <w:kern w:val="0"/>
                <w:sz w:val="18"/>
                <w:szCs w:val="18"/>
              </w:rPr>
            </w:pPr>
            <w:r>
              <w:rPr>
                <w:rFonts w:ascii="宋体" w:hAnsi="宋体"/>
                <w:kern w:val="0"/>
                <w:sz w:val="18"/>
                <w:szCs w:val="18"/>
              </w:rPr>
              <w:t>最多8个PCIe4.0x8或3个PCIe4.0x16+2个PCIe4.0x8标准插槽</w:t>
            </w:r>
          </w:p>
        </w:tc>
      </w:tr>
      <w:tr w14:paraId="4CF00E9B">
        <w:tblPrEx>
          <w:tblCellMar>
            <w:top w:w="0" w:type="dxa"/>
            <w:left w:w="108" w:type="dxa"/>
            <w:bottom w:w="0" w:type="dxa"/>
            <w:right w:w="108" w:type="dxa"/>
          </w:tblCellMar>
        </w:tblPrEx>
        <w:trPr>
          <w:trHeight w:val="926" w:hRule="atLeast"/>
        </w:trPr>
        <w:tc>
          <w:tcPr>
            <w:tcW w:w="480" w:type="dxa"/>
            <w:tcBorders>
              <w:top w:val="nil"/>
              <w:left w:val="single" w:color="auto" w:sz="4" w:space="0"/>
              <w:bottom w:val="single" w:color="auto" w:sz="4" w:space="0"/>
              <w:right w:val="single" w:color="auto" w:sz="4" w:space="0"/>
            </w:tcBorders>
            <w:vAlign w:val="center"/>
          </w:tcPr>
          <w:p w14:paraId="10BA026B">
            <w:pPr>
              <w:widowControl/>
              <w:jc w:val="center"/>
              <w:rPr>
                <w:rFonts w:ascii="宋体" w:hAnsi="宋体"/>
                <w:kern w:val="0"/>
                <w:sz w:val="18"/>
                <w:szCs w:val="18"/>
              </w:rPr>
            </w:pPr>
            <w:r>
              <w:rPr>
                <w:rFonts w:ascii="宋体" w:hAnsi="宋体"/>
                <w:kern w:val="0"/>
                <w:sz w:val="18"/>
                <w:szCs w:val="18"/>
              </w:rPr>
              <w:t>7</w:t>
            </w:r>
          </w:p>
        </w:tc>
        <w:tc>
          <w:tcPr>
            <w:tcW w:w="1220" w:type="dxa"/>
            <w:tcBorders>
              <w:top w:val="nil"/>
              <w:left w:val="nil"/>
              <w:bottom w:val="single" w:color="auto" w:sz="4" w:space="0"/>
              <w:right w:val="single" w:color="auto" w:sz="4" w:space="0"/>
            </w:tcBorders>
            <w:vAlign w:val="center"/>
          </w:tcPr>
          <w:p w14:paraId="4AFB8914">
            <w:pPr>
              <w:widowControl/>
              <w:jc w:val="left"/>
              <w:rPr>
                <w:rFonts w:ascii="宋体" w:hAnsi="宋体"/>
                <w:kern w:val="0"/>
                <w:sz w:val="18"/>
                <w:szCs w:val="18"/>
              </w:rPr>
            </w:pPr>
            <w:r>
              <w:rPr>
                <w:rFonts w:ascii="宋体" w:hAnsi="宋体"/>
                <w:kern w:val="0"/>
                <w:sz w:val="18"/>
                <w:szCs w:val="18"/>
              </w:rPr>
              <w:t xml:space="preserve">  产品规格</w:t>
            </w:r>
          </w:p>
        </w:tc>
        <w:tc>
          <w:tcPr>
            <w:tcW w:w="820" w:type="dxa"/>
            <w:vMerge w:val="continue"/>
            <w:tcBorders>
              <w:top w:val="nil"/>
              <w:left w:val="single" w:color="auto" w:sz="4" w:space="0"/>
              <w:bottom w:val="single" w:color="auto" w:sz="4" w:space="0"/>
              <w:right w:val="single" w:color="auto" w:sz="4" w:space="0"/>
            </w:tcBorders>
            <w:vAlign w:val="center"/>
          </w:tcPr>
          <w:p w14:paraId="2EC6A5AC">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15CE966C">
            <w:pPr>
              <w:widowControl/>
              <w:jc w:val="left"/>
              <w:rPr>
                <w:rFonts w:ascii="宋体" w:hAnsi="宋体"/>
                <w:kern w:val="0"/>
                <w:sz w:val="18"/>
                <w:szCs w:val="18"/>
              </w:rPr>
            </w:pPr>
            <w:r>
              <w:rPr>
                <w:rFonts w:ascii="宋体" w:hAnsi="宋体"/>
                <w:kern w:val="0"/>
                <w:sz w:val="18"/>
                <w:szCs w:val="18"/>
              </w:rPr>
              <w:t>特殊孔位及接口</w:t>
            </w:r>
          </w:p>
        </w:tc>
        <w:tc>
          <w:tcPr>
            <w:tcW w:w="8860" w:type="dxa"/>
            <w:tcBorders>
              <w:top w:val="nil"/>
              <w:left w:val="nil"/>
              <w:bottom w:val="single" w:color="auto" w:sz="4" w:space="0"/>
              <w:right w:val="single" w:color="auto" w:sz="4" w:space="0"/>
            </w:tcBorders>
            <w:vAlign w:val="center"/>
          </w:tcPr>
          <w:p w14:paraId="316D6608">
            <w:pPr>
              <w:widowControl/>
              <w:jc w:val="left"/>
              <w:rPr>
                <w:rFonts w:ascii="宋体" w:hAnsi="宋体"/>
                <w:kern w:val="0"/>
                <w:sz w:val="18"/>
                <w:szCs w:val="18"/>
              </w:rPr>
            </w:pPr>
            <w:r>
              <w:rPr>
                <w:rFonts w:ascii="宋体" w:hAnsi="宋体"/>
                <w:kern w:val="0"/>
                <w:sz w:val="18"/>
                <w:szCs w:val="18"/>
              </w:rPr>
              <w:t>a)服务器机箱内主板可根据用户实际使用需求支持安装多功能导入装置板卡，机箱内需预留多功能导入</w:t>
            </w:r>
            <w:r>
              <w:rPr>
                <w:rFonts w:ascii="宋体" w:hAnsi="宋体"/>
                <w:kern w:val="0"/>
                <w:sz w:val="18"/>
                <w:szCs w:val="18"/>
              </w:rPr>
              <w:br w:type="textWrapping"/>
            </w:r>
            <w:r>
              <w:rPr>
                <w:rFonts w:ascii="宋体" w:hAnsi="宋体"/>
                <w:kern w:val="0"/>
                <w:sz w:val="18"/>
                <w:szCs w:val="18"/>
              </w:rPr>
              <w:t>装置板卡安装位置，容量不小于55mm×45mm×15mm（长×宽×高，单位毫米）；</w:t>
            </w:r>
            <w:r>
              <w:rPr>
                <w:rFonts w:ascii="宋体" w:hAnsi="宋体"/>
                <w:kern w:val="0"/>
                <w:sz w:val="18"/>
                <w:szCs w:val="18"/>
              </w:rPr>
              <w:br w:type="textWrapping"/>
            </w:r>
            <w:r>
              <w:rPr>
                <w:rFonts w:ascii="宋体" w:hAnsi="宋体"/>
                <w:kern w:val="0"/>
                <w:sz w:val="18"/>
                <w:szCs w:val="18"/>
              </w:rPr>
              <w:t>b)服务器主板可根据用户实际使用需求预留满足USB2.0或USB3.0数据传输规范的接口，工作电压5V，采用USB2.0时，最大过电流应不小于0.5A，采用USB3.0时，最大过电流应不小于1A</w:t>
            </w:r>
          </w:p>
        </w:tc>
      </w:tr>
      <w:tr w14:paraId="7B1A3BDF">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306D3803">
            <w:pPr>
              <w:widowControl/>
              <w:jc w:val="center"/>
              <w:rPr>
                <w:rFonts w:ascii="宋体" w:hAnsi="宋体"/>
                <w:kern w:val="0"/>
                <w:sz w:val="18"/>
                <w:szCs w:val="18"/>
              </w:rPr>
            </w:pPr>
            <w:r>
              <w:rPr>
                <w:rFonts w:ascii="宋体" w:hAnsi="宋体"/>
                <w:kern w:val="0"/>
                <w:sz w:val="18"/>
                <w:szCs w:val="18"/>
              </w:rPr>
              <w:t>8</w:t>
            </w:r>
          </w:p>
        </w:tc>
        <w:tc>
          <w:tcPr>
            <w:tcW w:w="1220" w:type="dxa"/>
            <w:tcBorders>
              <w:top w:val="nil"/>
              <w:left w:val="nil"/>
              <w:bottom w:val="single" w:color="auto" w:sz="4" w:space="0"/>
              <w:right w:val="single" w:color="auto" w:sz="4" w:space="0"/>
            </w:tcBorders>
            <w:vAlign w:val="center"/>
          </w:tcPr>
          <w:p w14:paraId="690A8D8D">
            <w:pPr>
              <w:widowControl/>
              <w:jc w:val="left"/>
              <w:rPr>
                <w:rFonts w:ascii="宋体" w:hAnsi="宋体"/>
                <w:kern w:val="0"/>
                <w:sz w:val="18"/>
                <w:szCs w:val="18"/>
              </w:rPr>
            </w:pPr>
            <w:r>
              <w:rPr>
                <w:rFonts w:ascii="宋体" w:hAnsi="宋体"/>
                <w:kern w:val="0"/>
                <w:sz w:val="18"/>
                <w:szCs w:val="18"/>
              </w:rPr>
              <w:t xml:space="preserve">  产品规格</w:t>
            </w:r>
          </w:p>
        </w:tc>
        <w:tc>
          <w:tcPr>
            <w:tcW w:w="820" w:type="dxa"/>
            <w:vMerge w:val="continue"/>
            <w:tcBorders>
              <w:top w:val="nil"/>
              <w:left w:val="single" w:color="auto" w:sz="4" w:space="0"/>
              <w:bottom w:val="single" w:color="auto" w:sz="4" w:space="0"/>
              <w:right w:val="single" w:color="auto" w:sz="4" w:space="0"/>
            </w:tcBorders>
            <w:vAlign w:val="center"/>
          </w:tcPr>
          <w:p w14:paraId="54E5387B">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78B4B3DA">
            <w:pPr>
              <w:widowControl/>
              <w:jc w:val="left"/>
              <w:rPr>
                <w:rFonts w:ascii="宋体" w:hAnsi="宋体"/>
                <w:kern w:val="0"/>
                <w:sz w:val="18"/>
                <w:szCs w:val="18"/>
              </w:rPr>
            </w:pPr>
            <w:r>
              <w:rPr>
                <w:rFonts w:ascii="宋体" w:hAnsi="宋体"/>
                <w:kern w:val="0"/>
                <w:sz w:val="18"/>
                <w:szCs w:val="18"/>
              </w:rPr>
              <w:t>板载网络接口</w:t>
            </w:r>
          </w:p>
        </w:tc>
        <w:tc>
          <w:tcPr>
            <w:tcW w:w="8860" w:type="dxa"/>
            <w:tcBorders>
              <w:top w:val="nil"/>
              <w:left w:val="nil"/>
              <w:bottom w:val="single" w:color="auto" w:sz="4" w:space="0"/>
              <w:right w:val="single" w:color="auto" w:sz="4" w:space="0"/>
            </w:tcBorders>
            <w:vAlign w:val="center"/>
          </w:tcPr>
          <w:p w14:paraId="4764A4FC">
            <w:pPr>
              <w:widowControl/>
              <w:jc w:val="left"/>
              <w:rPr>
                <w:rFonts w:ascii="宋体" w:hAnsi="宋体"/>
                <w:kern w:val="0"/>
                <w:sz w:val="18"/>
                <w:szCs w:val="18"/>
              </w:rPr>
            </w:pPr>
            <w:r>
              <w:rPr>
                <w:rFonts w:ascii="宋体" w:hAnsi="宋体"/>
                <w:kern w:val="0"/>
                <w:sz w:val="18"/>
                <w:szCs w:val="18"/>
              </w:rPr>
              <w:t>2个板载网络插卡</w:t>
            </w:r>
          </w:p>
        </w:tc>
      </w:tr>
      <w:tr w14:paraId="628C0F46">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3877E288">
            <w:pPr>
              <w:widowControl/>
              <w:jc w:val="center"/>
              <w:rPr>
                <w:rFonts w:ascii="宋体" w:hAnsi="宋体"/>
                <w:kern w:val="0"/>
                <w:sz w:val="18"/>
                <w:szCs w:val="18"/>
              </w:rPr>
            </w:pPr>
            <w:r>
              <w:rPr>
                <w:rFonts w:ascii="宋体" w:hAnsi="宋体"/>
                <w:kern w:val="0"/>
                <w:sz w:val="18"/>
                <w:szCs w:val="18"/>
              </w:rPr>
              <w:t>9</w:t>
            </w:r>
          </w:p>
        </w:tc>
        <w:tc>
          <w:tcPr>
            <w:tcW w:w="1220" w:type="dxa"/>
            <w:tcBorders>
              <w:top w:val="nil"/>
              <w:left w:val="nil"/>
              <w:bottom w:val="single" w:color="auto" w:sz="4" w:space="0"/>
              <w:right w:val="single" w:color="auto" w:sz="4" w:space="0"/>
            </w:tcBorders>
            <w:vAlign w:val="center"/>
          </w:tcPr>
          <w:p w14:paraId="6A3A5372">
            <w:pPr>
              <w:widowControl/>
              <w:jc w:val="left"/>
              <w:rPr>
                <w:rFonts w:ascii="宋体" w:hAnsi="宋体"/>
                <w:kern w:val="0"/>
                <w:sz w:val="18"/>
                <w:szCs w:val="18"/>
              </w:rPr>
            </w:pPr>
            <w:r>
              <w:rPr>
                <w:rFonts w:ascii="宋体" w:hAnsi="宋体"/>
                <w:kern w:val="0"/>
                <w:sz w:val="18"/>
                <w:szCs w:val="18"/>
              </w:rPr>
              <w:t xml:space="preserve">  产品规格</w:t>
            </w:r>
          </w:p>
        </w:tc>
        <w:tc>
          <w:tcPr>
            <w:tcW w:w="820" w:type="dxa"/>
            <w:vMerge w:val="continue"/>
            <w:tcBorders>
              <w:top w:val="nil"/>
              <w:left w:val="single" w:color="auto" w:sz="4" w:space="0"/>
              <w:bottom w:val="single" w:color="auto" w:sz="4" w:space="0"/>
              <w:right w:val="single" w:color="auto" w:sz="4" w:space="0"/>
            </w:tcBorders>
            <w:vAlign w:val="center"/>
          </w:tcPr>
          <w:p w14:paraId="5AA026A9">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4CF810F6">
            <w:pPr>
              <w:widowControl/>
              <w:jc w:val="left"/>
              <w:rPr>
                <w:rFonts w:ascii="宋体" w:hAnsi="宋体"/>
                <w:kern w:val="0"/>
                <w:sz w:val="18"/>
                <w:szCs w:val="18"/>
              </w:rPr>
            </w:pPr>
            <w:r>
              <w:rPr>
                <w:rFonts w:ascii="宋体" w:hAnsi="宋体"/>
                <w:kern w:val="0"/>
                <w:sz w:val="18"/>
                <w:szCs w:val="18"/>
              </w:rPr>
              <w:t>主板OCP插槽数量</w:t>
            </w:r>
          </w:p>
        </w:tc>
        <w:tc>
          <w:tcPr>
            <w:tcW w:w="8860" w:type="dxa"/>
            <w:tcBorders>
              <w:top w:val="nil"/>
              <w:left w:val="nil"/>
              <w:bottom w:val="single" w:color="auto" w:sz="4" w:space="0"/>
              <w:right w:val="single" w:color="auto" w:sz="4" w:space="0"/>
            </w:tcBorders>
            <w:vAlign w:val="center"/>
          </w:tcPr>
          <w:p w14:paraId="63AF98F6">
            <w:pPr>
              <w:widowControl/>
              <w:jc w:val="left"/>
              <w:rPr>
                <w:rFonts w:ascii="宋体" w:hAnsi="宋体"/>
                <w:kern w:val="0"/>
                <w:sz w:val="18"/>
                <w:szCs w:val="18"/>
              </w:rPr>
            </w:pPr>
            <w:r>
              <w:rPr>
                <w:rFonts w:ascii="宋体" w:hAnsi="宋体"/>
                <w:kern w:val="0"/>
                <w:sz w:val="18"/>
                <w:szCs w:val="18"/>
              </w:rPr>
              <w:t>支持OCP2.0及以上插槽的数量不少</w:t>
            </w:r>
            <w:r>
              <w:rPr>
                <w:rFonts w:ascii="宋体" w:hAnsi="宋体"/>
                <w:kern w:val="0"/>
                <w:sz w:val="18"/>
                <w:szCs w:val="18"/>
              </w:rPr>
              <w:br w:type="textWrapping"/>
            </w:r>
            <w:r>
              <w:rPr>
                <w:rFonts w:ascii="宋体" w:hAnsi="宋体"/>
                <w:kern w:val="0"/>
                <w:sz w:val="18"/>
                <w:szCs w:val="18"/>
              </w:rPr>
              <w:t>于1个</w:t>
            </w:r>
          </w:p>
        </w:tc>
      </w:tr>
      <w:tr w14:paraId="4712B6AE">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3232DE93">
            <w:pPr>
              <w:widowControl/>
              <w:jc w:val="center"/>
              <w:rPr>
                <w:rFonts w:ascii="宋体" w:hAnsi="宋体"/>
                <w:kern w:val="0"/>
                <w:sz w:val="18"/>
                <w:szCs w:val="18"/>
              </w:rPr>
            </w:pPr>
            <w:r>
              <w:rPr>
                <w:rFonts w:ascii="宋体" w:hAnsi="宋体"/>
                <w:kern w:val="0"/>
                <w:sz w:val="18"/>
                <w:szCs w:val="18"/>
              </w:rPr>
              <w:t>10</w:t>
            </w:r>
          </w:p>
        </w:tc>
        <w:tc>
          <w:tcPr>
            <w:tcW w:w="1220" w:type="dxa"/>
            <w:tcBorders>
              <w:top w:val="nil"/>
              <w:left w:val="nil"/>
              <w:bottom w:val="single" w:color="auto" w:sz="4" w:space="0"/>
              <w:right w:val="single" w:color="auto" w:sz="4" w:space="0"/>
            </w:tcBorders>
            <w:vAlign w:val="center"/>
          </w:tcPr>
          <w:p w14:paraId="649187B0">
            <w:pPr>
              <w:widowControl/>
              <w:jc w:val="center"/>
              <w:rPr>
                <w:rFonts w:ascii="宋体" w:hAnsi="宋体"/>
                <w:kern w:val="0"/>
                <w:sz w:val="18"/>
                <w:szCs w:val="18"/>
              </w:rPr>
            </w:pPr>
            <w:r>
              <w:rPr>
                <w:rFonts w:ascii="宋体" w:hAnsi="宋体"/>
                <w:kern w:val="0"/>
                <w:sz w:val="18"/>
                <w:szCs w:val="18"/>
              </w:rPr>
              <w:t>产品规格</w:t>
            </w:r>
          </w:p>
        </w:tc>
        <w:tc>
          <w:tcPr>
            <w:tcW w:w="820" w:type="dxa"/>
            <w:vMerge w:val="restart"/>
            <w:tcBorders>
              <w:top w:val="nil"/>
              <w:left w:val="single" w:color="auto" w:sz="4" w:space="0"/>
              <w:bottom w:val="single" w:color="auto" w:sz="4" w:space="0"/>
              <w:right w:val="single" w:color="auto" w:sz="4" w:space="0"/>
            </w:tcBorders>
            <w:vAlign w:val="center"/>
          </w:tcPr>
          <w:p w14:paraId="3E0F666B">
            <w:pPr>
              <w:widowControl/>
              <w:jc w:val="center"/>
              <w:rPr>
                <w:rFonts w:ascii="宋体" w:hAnsi="宋体"/>
                <w:kern w:val="0"/>
                <w:sz w:val="18"/>
                <w:szCs w:val="18"/>
              </w:rPr>
            </w:pPr>
            <w:r>
              <w:rPr>
                <w:rFonts w:ascii="宋体" w:hAnsi="宋体"/>
                <w:kern w:val="0"/>
                <w:sz w:val="18"/>
                <w:szCs w:val="18"/>
              </w:rPr>
              <w:t>内存规格</w:t>
            </w:r>
          </w:p>
        </w:tc>
        <w:tc>
          <w:tcPr>
            <w:tcW w:w="1320" w:type="dxa"/>
            <w:tcBorders>
              <w:top w:val="nil"/>
              <w:left w:val="nil"/>
              <w:bottom w:val="single" w:color="auto" w:sz="4" w:space="0"/>
              <w:right w:val="single" w:color="auto" w:sz="4" w:space="0"/>
            </w:tcBorders>
            <w:vAlign w:val="center"/>
          </w:tcPr>
          <w:p w14:paraId="6FD8FDE5">
            <w:pPr>
              <w:widowControl/>
              <w:jc w:val="left"/>
              <w:rPr>
                <w:rFonts w:ascii="宋体" w:hAnsi="宋体"/>
                <w:kern w:val="0"/>
                <w:sz w:val="18"/>
                <w:szCs w:val="18"/>
              </w:rPr>
            </w:pPr>
            <w:r>
              <w:rPr>
                <w:rFonts w:ascii="宋体" w:hAnsi="宋体"/>
                <w:kern w:val="0"/>
                <w:sz w:val="18"/>
                <w:szCs w:val="18"/>
              </w:rPr>
              <w:t>★内存数量</w:t>
            </w:r>
          </w:p>
        </w:tc>
        <w:tc>
          <w:tcPr>
            <w:tcW w:w="8860" w:type="dxa"/>
            <w:tcBorders>
              <w:top w:val="nil"/>
              <w:left w:val="nil"/>
              <w:bottom w:val="single" w:color="auto" w:sz="4" w:space="0"/>
              <w:right w:val="single" w:color="auto" w:sz="4" w:space="0"/>
            </w:tcBorders>
            <w:vAlign w:val="center"/>
          </w:tcPr>
          <w:p w14:paraId="72913106">
            <w:pPr>
              <w:widowControl/>
              <w:jc w:val="left"/>
              <w:rPr>
                <w:rFonts w:ascii="宋体" w:hAnsi="宋体"/>
                <w:kern w:val="0"/>
                <w:sz w:val="18"/>
                <w:szCs w:val="18"/>
              </w:rPr>
            </w:pPr>
            <w:r>
              <w:rPr>
                <w:rFonts w:ascii="宋体" w:hAnsi="宋体"/>
                <w:kern w:val="0"/>
                <w:sz w:val="18"/>
                <w:szCs w:val="18"/>
              </w:rPr>
              <w:t>≥4</w:t>
            </w:r>
          </w:p>
        </w:tc>
      </w:tr>
      <w:tr w14:paraId="08477686">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33F702A9">
            <w:pPr>
              <w:widowControl/>
              <w:jc w:val="center"/>
              <w:rPr>
                <w:rFonts w:ascii="宋体" w:hAnsi="宋体"/>
                <w:kern w:val="0"/>
                <w:sz w:val="18"/>
                <w:szCs w:val="18"/>
              </w:rPr>
            </w:pPr>
            <w:r>
              <w:rPr>
                <w:rFonts w:ascii="宋体" w:hAnsi="宋体"/>
                <w:kern w:val="0"/>
                <w:sz w:val="18"/>
                <w:szCs w:val="18"/>
              </w:rPr>
              <w:t>11</w:t>
            </w:r>
          </w:p>
        </w:tc>
        <w:tc>
          <w:tcPr>
            <w:tcW w:w="1220" w:type="dxa"/>
            <w:tcBorders>
              <w:top w:val="nil"/>
              <w:left w:val="nil"/>
              <w:bottom w:val="single" w:color="auto" w:sz="4" w:space="0"/>
              <w:right w:val="single" w:color="auto" w:sz="4" w:space="0"/>
            </w:tcBorders>
            <w:vAlign w:val="center"/>
          </w:tcPr>
          <w:p w14:paraId="262DD1E2">
            <w:pPr>
              <w:widowControl/>
              <w:jc w:val="center"/>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46D97F54">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20F68425">
            <w:pPr>
              <w:widowControl/>
              <w:jc w:val="left"/>
              <w:rPr>
                <w:rFonts w:ascii="宋体" w:hAnsi="宋体"/>
                <w:kern w:val="0"/>
                <w:sz w:val="18"/>
                <w:szCs w:val="18"/>
              </w:rPr>
            </w:pPr>
            <w:r>
              <w:rPr>
                <w:rFonts w:ascii="宋体" w:hAnsi="宋体"/>
                <w:kern w:val="0"/>
                <w:sz w:val="18"/>
                <w:szCs w:val="18"/>
              </w:rPr>
              <w:t>★内存规格</w:t>
            </w:r>
          </w:p>
        </w:tc>
        <w:tc>
          <w:tcPr>
            <w:tcW w:w="8860" w:type="dxa"/>
            <w:tcBorders>
              <w:top w:val="nil"/>
              <w:left w:val="nil"/>
              <w:bottom w:val="single" w:color="auto" w:sz="4" w:space="0"/>
              <w:right w:val="single" w:color="auto" w:sz="4" w:space="0"/>
            </w:tcBorders>
            <w:vAlign w:val="center"/>
          </w:tcPr>
          <w:p w14:paraId="2C3855FC">
            <w:pPr>
              <w:widowControl/>
              <w:jc w:val="left"/>
              <w:rPr>
                <w:rFonts w:ascii="宋体" w:hAnsi="宋体"/>
                <w:kern w:val="0"/>
                <w:sz w:val="18"/>
                <w:szCs w:val="18"/>
              </w:rPr>
            </w:pPr>
            <w:r>
              <w:rPr>
                <w:rFonts w:ascii="宋体" w:hAnsi="宋体"/>
                <w:kern w:val="0"/>
                <w:sz w:val="18"/>
                <w:szCs w:val="18"/>
              </w:rPr>
              <w:t>≥DDR4</w:t>
            </w:r>
          </w:p>
        </w:tc>
      </w:tr>
      <w:tr w14:paraId="236AFFB3">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389A9B37">
            <w:pPr>
              <w:widowControl/>
              <w:jc w:val="center"/>
              <w:rPr>
                <w:rFonts w:ascii="宋体" w:hAnsi="宋体"/>
                <w:kern w:val="0"/>
                <w:sz w:val="18"/>
                <w:szCs w:val="18"/>
              </w:rPr>
            </w:pPr>
            <w:r>
              <w:rPr>
                <w:rFonts w:ascii="宋体" w:hAnsi="宋体"/>
                <w:kern w:val="0"/>
                <w:sz w:val="18"/>
                <w:szCs w:val="18"/>
              </w:rPr>
              <w:t>12</w:t>
            </w:r>
          </w:p>
        </w:tc>
        <w:tc>
          <w:tcPr>
            <w:tcW w:w="1220" w:type="dxa"/>
            <w:tcBorders>
              <w:top w:val="nil"/>
              <w:left w:val="nil"/>
              <w:bottom w:val="single" w:color="auto" w:sz="4" w:space="0"/>
              <w:right w:val="single" w:color="auto" w:sz="4" w:space="0"/>
            </w:tcBorders>
            <w:vAlign w:val="center"/>
          </w:tcPr>
          <w:p w14:paraId="1E417116">
            <w:pPr>
              <w:widowControl/>
              <w:jc w:val="center"/>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4F9C263E">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3473FCC7">
            <w:pPr>
              <w:widowControl/>
              <w:jc w:val="left"/>
              <w:rPr>
                <w:rFonts w:ascii="宋体" w:hAnsi="宋体"/>
                <w:kern w:val="0"/>
                <w:sz w:val="18"/>
                <w:szCs w:val="18"/>
              </w:rPr>
            </w:pPr>
            <w:r>
              <w:rPr>
                <w:rFonts w:ascii="宋体" w:hAnsi="宋体"/>
                <w:kern w:val="0"/>
                <w:sz w:val="18"/>
                <w:szCs w:val="18"/>
              </w:rPr>
              <w:t>★内存通道</w:t>
            </w:r>
          </w:p>
        </w:tc>
        <w:tc>
          <w:tcPr>
            <w:tcW w:w="8860" w:type="dxa"/>
            <w:tcBorders>
              <w:top w:val="nil"/>
              <w:left w:val="nil"/>
              <w:bottom w:val="single" w:color="auto" w:sz="4" w:space="0"/>
              <w:right w:val="single" w:color="auto" w:sz="4" w:space="0"/>
            </w:tcBorders>
            <w:vAlign w:val="center"/>
          </w:tcPr>
          <w:p w14:paraId="60B5397B">
            <w:pPr>
              <w:widowControl/>
              <w:jc w:val="left"/>
              <w:rPr>
                <w:rFonts w:ascii="宋体" w:hAnsi="宋体"/>
                <w:kern w:val="0"/>
                <w:sz w:val="18"/>
                <w:szCs w:val="18"/>
              </w:rPr>
            </w:pPr>
            <w:r>
              <w:rPr>
                <w:rFonts w:ascii="宋体" w:hAnsi="宋体"/>
                <w:kern w:val="0"/>
                <w:sz w:val="18"/>
                <w:szCs w:val="18"/>
              </w:rPr>
              <w:t>支持多个内存接口通道，每个通道可支持1DPC或2DPC，当支持2DPC时，印制电路板上应具备插槽的序号标识，具体通道数在随机文件中明确</w:t>
            </w:r>
          </w:p>
        </w:tc>
      </w:tr>
      <w:tr w14:paraId="7F3A6ECF">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5AE02B9A">
            <w:pPr>
              <w:widowControl/>
              <w:jc w:val="center"/>
              <w:rPr>
                <w:rFonts w:ascii="宋体" w:hAnsi="宋体"/>
                <w:kern w:val="0"/>
                <w:sz w:val="18"/>
                <w:szCs w:val="18"/>
              </w:rPr>
            </w:pPr>
            <w:r>
              <w:rPr>
                <w:rFonts w:ascii="宋体" w:hAnsi="宋体"/>
                <w:kern w:val="0"/>
                <w:sz w:val="18"/>
                <w:szCs w:val="18"/>
              </w:rPr>
              <w:t>13</w:t>
            </w:r>
          </w:p>
        </w:tc>
        <w:tc>
          <w:tcPr>
            <w:tcW w:w="1220" w:type="dxa"/>
            <w:tcBorders>
              <w:top w:val="nil"/>
              <w:left w:val="nil"/>
              <w:bottom w:val="single" w:color="auto" w:sz="4" w:space="0"/>
              <w:right w:val="single" w:color="auto" w:sz="4" w:space="0"/>
            </w:tcBorders>
            <w:vAlign w:val="center"/>
          </w:tcPr>
          <w:p w14:paraId="64F587E9">
            <w:pPr>
              <w:widowControl/>
              <w:jc w:val="center"/>
              <w:rPr>
                <w:rFonts w:ascii="宋体" w:hAnsi="宋体"/>
                <w:kern w:val="0"/>
                <w:sz w:val="18"/>
                <w:szCs w:val="18"/>
              </w:rPr>
            </w:pPr>
            <w:r>
              <w:rPr>
                <w:rFonts w:ascii="宋体" w:hAnsi="宋体"/>
                <w:kern w:val="0"/>
                <w:sz w:val="18"/>
                <w:szCs w:val="18"/>
              </w:rPr>
              <w:t>产品规格</w:t>
            </w:r>
          </w:p>
        </w:tc>
        <w:tc>
          <w:tcPr>
            <w:tcW w:w="820" w:type="dxa"/>
            <w:vMerge w:val="restart"/>
            <w:tcBorders>
              <w:top w:val="nil"/>
              <w:left w:val="single" w:color="auto" w:sz="4" w:space="0"/>
              <w:bottom w:val="single" w:color="auto" w:sz="4" w:space="0"/>
              <w:right w:val="single" w:color="auto" w:sz="4" w:space="0"/>
            </w:tcBorders>
            <w:vAlign w:val="center"/>
          </w:tcPr>
          <w:p w14:paraId="3A6BF519">
            <w:pPr>
              <w:widowControl/>
              <w:jc w:val="center"/>
              <w:rPr>
                <w:rFonts w:ascii="宋体" w:hAnsi="宋体"/>
                <w:kern w:val="0"/>
                <w:sz w:val="18"/>
                <w:szCs w:val="18"/>
              </w:rPr>
            </w:pPr>
            <w:r>
              <w:rPr>
                <w:rFonts w:ascii="宋体" w:hAnsi="宋体"/>
                <w:kern w:val="0"/>
                <w:sz w:val="18"/>
                <w:szCs w:val="18"/>
              </w:rPr>
              <w:t>存储规格</w:t>
            </w:r>
          </w:p>
        </w:tc>
        <w:tc>
          <w:tcPr>
            <w:tcW w:w="1320" w:type="dxa"/>
            <w:tcBorders>
              <w:top w:val="nil"/>
              <w:left w:val="nil"/>
              <w:bottom w:val="single" w:color="auto" w:sz="4" w:space="0"/>
              <w:right w:val="single" w:color="auto" w:sz="4" w:space="0"/>
            </w:tcBorders>
            <w:vAlign w:val="center"/>
          </w:tcPr>
          <w:p w14:paraId="5AA698CC">
            <w:pPr>
              <w:widowControl/>
              <w:jc w:val="left"/>
              <w:rPr>
                <w:rFonts w:ascii="宋体" w:hAnsi="宋体"/>
                <w:kern w:val="0"/>
                <w:sz w:val="18"/>
                <w:szCs w:val="18"/>
              </w:rPr>
            </w:pPr>
            <w:r>
              <w:rPr>
                <w:rFonts w:ascii="宋体" w:hAnsi="宋体"/>
                <w:kern w:val="0"/>
                <w:sz w:val="18"/>
                <w:szCs w:val="18"/>
              </w:rPr>
              <w:t>硬盘类型</w:t>
            </w:r>
          </w:p>
        </w:tc>
        <w:tc>
          <w:tcPr>
            <w:tcW w:w="8860" w:type="dxa"/>
            <w:tcBorders>
              <w:top w:val="nil"/>
              <w:left w:val="nil"/>
              <w:bottom w:val="single" w:color="auto" w:sz="4" w:space="0"/>
              <w:right w:val="single" w:color="auto" w:sz="4" w:space="0"/>
            </w:tcBorders>
            <w:vAlign w:val="center"/>
          </w:tcPr>
          <w:p w14:paraId="4440A659">
            <w:pPr>
              <w:widowControl/>
              <w:jc w:val="left"/>
              <w:rPr>
                <w:rFonts w:ascii="宋体" w:hAnsi="宋体"/>
                <w:kern w:val="0"/>
                <w:sz w:val="18"/>
                <w:szCs w:val="18"/>
              </w:rPr>
            </w:pPr>
            <w:r>
              <w:rPr>
                <w:rFonts w:ascii="宋体" w:hAnsi="宋体"/>
                <w:kern w:val="0"/>
                <w:sz w:val="18"/>
                <w:szCs w:val="18"/>
              </w:rPr>
              <w:t>SAS/SATA/HDD硬盘或SAS/SATASSD硬盘；</w:t>
            </w:r>
          </w:p>
        </w:tc>
      </w:tr>
      <w:tr w14:paraId="36386274">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7FB9EA2A">
            <w:pPr>
              <w:widowControl/>
              <w:jc w:val="center"/>
              <w:rPr>
                <w:rFonts w:ascii="宋体" w:hAnsi="宋体"/>
                <w:kern w:val="0"/>
                <w:sz w:val="18"/>
                <w:szCs w:val="18"/>
              </w:rPr>
            </w:pPr>
            <w:r>
              <w:rPr>
                <w:rFonts w:ascii="宋体" w:hAnsi="宋体"/>
                <w:kern w:val="0"/>
                <w:sz w:val="18"/>
                <w:szCs w:val="18"/>
              </w:rPr>
              <w:t>14</w:t>
            </w:r>
          </w:p>
        </w:tc>
        <w:tc>
          <w:tcPr>
            <w:tcW w:w="1220" w:type="dxa"/>
            <w:tcBorders>
              <w:top w:val="nil"/>
              <w:left w:val="nil"/>
              <w:bottom w:val="single" w:color="auto" w:sz="4" w:space="0"/>
              <w:right w:val="single" w:color="auto" w:sz="4" w:space="0"/>
            </w:tcBorders>
            <w:vAlign w:val="center"/>
          </w:tcPr>
          <w:p w14:paraId="1A594DEA">
            <w:pPr>
              <w:widowControl/>
              <w:jc w:val="center"/>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6F0EB8D6">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22D5D7BD">
            <w:pPr>
              <w:widowControl/>
              <w:jc w:val="left"/>
              <w:rPr>
                <w:rFonts w:ascii="宋体" w:hAnsi="宋体"/>
                <w:kern w:val="0"/>
                <w:sz w:val="18"/>
                <w:szCs w:val="18"/>
              </w:rPr>
            </w:pPr>
            <w:r>
              <w:rPr>
                <w:rFonts w:ascii="宋体" w:hAnsi="宋体"/>
                <w:kern w:val="0"/>
                <w:sz w:val="18"/>
                <w:szCs w:val="18"/>
              </w:rPr>
              <w:t>★硬磁盘实配容量</w:t>
            </w:r>
          </w:p>
        </w:tc>
        <w:tc>
          <w:tcPr>
            <w:tcW w:w="8860" w:type="dxa"/>
            <w:tcBorders>
              <w:top w:val="nil"/>
              <w:left w:val="nil"/>
              <w:bottom w:val="single" w:color="auto" w:sz="4" w:space="0"/>
              <w:right w:val="single" w:color="auto" w:sz="4" w:space="0"/>
            </w:tcBorders>
            <w:vAlign w:val="center"/>
          </w:tcPr>
          <w:p w14:paraId="00C23A04">
            <w:pPr>
              <w:widowControl/>
              <w:jc w:val="left"/>
              <w:rPr>
                <w:rFonts w:ascii="宋体" w:hAnsi="宋体"/>
                <w:kern w:val="0"/>
                <w:sz w:val="18"/>
                <w:szCs w:val="18"/>
              </w:rPr>
            </w:pPr>
            <w:r>
              <w:rPr>
                <w:rFonts w:ascii="宋体" w:hAnsi="宋体"/>
                <w:kern w:val="0"/>
                <w:sz w:val="18"/>
                <w:szCs w:val="18"/>
              </w:rPr>
              <w:t>实配固态SATA盘单盘可用容量不小于960GB，总容量不少于1920G</w:t>
            </w:r>
          </w:p>
        </w:tc>
      </w:tr>
      <w:tr w14:paraId="42208EE4">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2C25BC0F">
            <w:pPr>
              <w:widowControl/>
              <w:jc w:val="center"/>
              <w:rPr>
                <w:rFonts w:ascii="宋体" w:hAnsi="宋体"/>
                <w:kern w:val="0"/>
                <w:sz w:val="18"/>
                <w:szCs w:val="18"/>
              </w:rPr>
            </w:pPr>
            <w:r>
              <w:rPr>
                <w:rFonts w:ascii="宋体" w:hAnsi="宋体"/>
                <w:kern w:val="0"/>
                <w:sz w:val="18"/>
                <w:szCs w:val="18"/>
              </w:rPr>
              <w:t>15</w:t>
            </w:r>
          </w:p>
        </w:tc>
        <w:tc>
          <w:tcPr>
            <w:tcW w:w="1220" w:type="dxa"/>
            <w:tcBorders>
              <w:top w:val="nil"/>
              <w:left w:val="nil"/>
              <w:bottom w:val="single" w:color="auto" w:sz="4" w:space="0"/>
              <w:right w:val="single" w:color="auto" w:sz="4" w:space="0"/>
            </w:tcBorders>
            <w:vAlign w:val="center"/>
          </w:tcPr>
          <w:p w14:paraId="3EAC4811">
            <w:pPr>
              <w:widowControl/>
              <w:jc w:val="center"/>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72558BFD">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56E8649E">
            <w:pPr>
              <w:widowControl/>
              <w:jc w:val="left"/>
              <w:rPr>
                <w:rFonts w:ascii="宋体" w:hAnsi="宋体"/>
                <w:kern w:val="0"/>
                <w:sz w:val="18"/>
                <w:szCs w:val="18"/>
              </w:rPr>
            </w:pPr>
            <w:r>
              <w:rPr>
                <w:rFonts w:ascii="宋体" w:hAnsi="宋体"/>
                <w:kern w:val="0"/>
                <w:sz w:val="18"/>
                <w:szCs w:val="18"/>
              </w:rPr>
              <w:t>硬盘接口类型</w:t>
            </w:r>
          </w:p>
        </w:tc>
        <w:tc>
          <w:tcPr>
            <w:tcW w:w="8860" w:type="dxa"/>
            <w:tcBorders>
              <w:top w:val="nil"/>
              <w:left w:val="nil"/>
              <w:bottom w:val="single" w:color="auto" w:sz="4" w:space="0"/>
              <w:right w:val="single" w:color="auto" w:sz="4" w:space="0"/>
            </w:tcBorders>
            <w:vAlign w:val="center"/>
          </w:tcPr>
          <w:p w14:paraId="2C68D70B">
            <w:pPr>
              <w:widowControl/>
              <w:jc w:val="left"/>
              <w:rPr>
                <w:rFonts w:ascii="宋体" w:hAnsi="宋体"/>
                <w:kern w:val="0"/>
                <w:sz w:val="18"/>
                <w:szCs w:val="18"/>
              </w:rPr>
            </w:pPr>
            <w:r>
              <w:rPr>
                <w:rFonts w:hint="eastAsia" w:ascii="宋体" w:hAnsi="宋体"/>
                <w:kern w:val="0"/>
                <w:sz w:val="18"/>
                <w:szCs w:val="18"/>
              </w:rPr>
              <w:t>a)若配备硬磁盘，应提供SAS 3.0或SATA 3.0 及以上接口；</w:t>
            </w:r>
            <w:r>
              <w:rPr>
                <w:rFonts w:hint="eastAsia" w:ascii="宋体" w:hAnsi="宋体"/>
                <w:kern w:val="0"/>
                <w:sz w:val="18"/>
                <w:szCs w:val="18"/>
              </w:rPr>
              <w:br w:type="textWrapping"/>
            </w:r>
            <w:r>
              <w:rPr>
                <w:rFonts w:hint="eastAsia" w:ascii="宋体" w:hAnsi="宋体"/>
                <w:kern w:val="0"/>
                <w:sz w:val="18"/>
                <w:szCs w:val="18"/>
              </w:rPr>
              <w:t>b)若配备固态盘，应提供至少1种类型固态盘接口，如UFS、SATA、PCIe等</w:t>
            </w:r>
          </w:p>
          <w:p w14:paraId="4D0E8C13">
            <w:pPr>
              <w:widowControl/>
              <w:jc w:val="left"/>
              <w:rPr>
                <w:rFonts w:ascii="宋体" w:hAnsi="宋体"/>
                <w:kern w:val="0"/>
                <w:sz w:val="18"/>
                <w:szCs w:val="18"/>
              </w:rPr>
            </w:pPr>
          </w:p>
        </w:tc>
      </w:tr>
      <w:tr w14:paraId="1F272950">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7616A06F">
            <w:pPr>
              <w:widowControl/>
              <w:jc w:val="center"/>
              <w:rPr>
                <w:rFonts w:ascii="宋体" w:hAnsi="宋体"/>
                <w:kern w:val="0"/>
                <w:sz w:val="18"/>
                <w:szCs w:val="18"/>
              </w:rPr>
            </w:pPr>
            <w:r>
              <w:rPr>
                <w:rFonts w:ascii="宋体" w:hAnsi="宋体"/>
                <w:kern w:val="0"/>
                <w:sz w:val="18"/>
                <w:szCs w:val="18"/>
              </w:rPr>
              <w:t>16</w:t>
            </w:r>
          </w:p>
        </w:tc>
        <w:tc>
          <w:tcPr>
            <w:tcW w:w="1220" w:type="dxa"/>
            <w:tcBorders>
              <w:top w:val="nil"/>
              <w:left w:val="nil"/>
              <w:bottom w:val="single" w:color="auto" w:sz="4" w:space="0"/>
              <w:right w:val="single" w:color="auto" w:sz="4" w:space="0"/>
            </w:tcBorders>
            <w:vAlign w:val="center"/>
          </w:tcPr>
          <w:p w14:paraId="5D15B9D5">
            <w:pPr>
              <w:widowControl/>
              <w:jc w:val="center"/>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258715CB">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4A5BD86C">
            <w:pPr>
              <w:widowControl/>
              <w:jc w:val="left"/>
              <w:rPr>
                <w:rFonts w:ascii="宋体" w:hAnsi="宋体"/>
                <w:kern w:val="0"/>
                <w:sz w:val="18"/>
                <w:szCs w:val="18"/>
              </w:rPr>
            </w:pPr>
            <w:r>
              <w:rPr>
                <w:rFonts w:ascii="宋体" w:hAnsi="宋体"/>
                <w:kern w:val="0"/>
                <w:sz w:val="18"/>
                <w:szCs w:val="18"/>
              </w:rPr>
              <w:t>★硬盘实配数量</w:t>
            </w:r>
          </w:p>
        </w:tc>
        <w:tc>
          <w:tcPr>
            <w:tcW w:w="8860" w:type="dxa"/>
            <w:tcBorders>
              <w:top w:val="nil"/>
              <w:left w:val="nil"/>
              <w:bottom w:val="single" w:color="auto" w:sz="4" w:space="0"/>
              <w:right w:val="single" w:color="auto" w:sz="4" w:space="0"/>
            </w:tcBorders>
            <w:vAlign w:val="center"/>
          </w:tcPr>
          <w:p w14:paraId="408A929B">
            <w:pPr>
              <w:widowControl/>
              <w:jc w:val="left"/>
              <w:rPr>
                <w:rFonts w:ascii="宋体" w:hAnsi="宋体"/>
                <w:kern w:val="0"/>
                <w:sz w:val="18"/>
                <w:szCs w:val="18"/>
              </w:rPr>
            </w:pPr>
            <w:r>
              <w:rPr>
                <w:rFonts w:ascii="宋体" w:hAnsi="宋体"/>
                <w:kern w:val="0"/>
                <w:sz w:val="18"/>
                <w:szCs w:val="18"/>
              </w:rPr>
              <w:t>固态硬盘数量≥2</w:t>
            </w:r>
          </w:p>
        </w:tc>
      </w:tr>
      <w:tr w14:paraId="13F5B0F9">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3C68B635">
            <w:pPr>
              <w:widowControl/>
              <w:jc w:val="center"/>
              <w:rPr>
                <w:rFonts w:ascii="宋体" w:hAnsi="宋体"/>
                <w:kern w:val="0"/>
                <w:sz w:val="18"/>
                <w:szCs w:val="18"/>
              </w:rPr>
            </w:pPr>
            <w:r>
              <w:rPr>
                <w:rFonts w:ascii="宋体" w:hAnsi="宋体"/>
                <w:kern w:val="0"/>
                <w:sz w:val="18"/>
                <w:szCs w:val="18"/>
              </w:rPr>
              <w:t>17</w:t>
            </w:r>
          </w:p>
        </w:tc>
        <w:tc>
          <w:tcPr>
            <w:tcW w:w="1220" w:type="dxa"/>
            <w:tcBorders>
              <w:top w:val="nil"/>
              <w:left w:val="nil"/>
              <w:bottom w:val="single" w:color="auto" w:sz="4" w:space="0"/>
              <w:right w:val="single" w:color="auto" w:sz="4" w:space="0"/>
            </w:tcBorders>
            <w:vAlign w:val="center"/>
          </w:tcPr>
          <w:p w14:paraId="1822E86C">
            <w:pPr>
              <w:widowControl/>
              <w:jc w:val="center"/>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0E3B308F">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0FC28FB4">
            <w:pPr>
              <w:widowControl/>
              <w:jc w:val="left"/>
              <w:rPr>
                <w:rFonts w:ascii="宋体" w:hAnsi="宋体"/>
                <w:kern w:val="0"/>
                <w:sz w:val="18"/>
                <w:szCs w:val="18"/>
              </w:rPr>
            </w:pPr>
            <w:r>
              <w:rPr>
                <w:rFonts w:ascii="宋体" w:hAnsi="宋体"/>
                <w:kern w:val="0"/>
                <w:sz w:val="18"/>
                <w:szCs w:val="18"/>
              </w:rPr>
              <w:t>★硬盘插槽数量及规格</w:t>
            </w:r>
          </w:p>
        </w:tc>
        <w:tc>
          <w:tcPr>
            <w:tcW w:w="8860" w:type="dxa"/>
            <w:tcBorders>
              <w:top w:val="nil"/>
              <w:left w:val="nil"/>
              <w:bottom w:val="single" w:color="auto" w:sz="4" w:space="0"/>
              <w:right w:val="single" w:color="auto" w:sz="4" w:space="0"/>
            </w:tcBorders>
            <w:vAlign w:val="center"/>
          </w:tcPr>
          <w:p w14:paraId="360FB73F">
            <w:pPr>
              <w:widowControl/>
              <w:jc w:val="left"/>
              <w:rPr>
                <w:rFonts w:ascii="宋体" w:hAnsi="宋体"/>
                <w:kern w:val="0"/>
                <w:sz w:val="18"/>
                <w:szCs w:val="18"/>
              </w:rPr>
            </w:pPr>
            <w:r>
              <w:rPr>
                <w:rFonts w:ascii="宋体" w:hAnsi="宋体"/>
                <w:kern w:val="0"/>
                <w:sz w:val="18"/>
                <w:szCs w:val="18"/>
              </w:rPr>
              <w:t>最多16个3.5英寸或27个2.5英寸SAS/SATAHDD硬盘、SAS/SATASSD硬盘或16个2.5英寸NVMeSSD硬盘</w:t>
            </w:r>
          </w:p>
        </w:tc>
      </w:tr>
      <w:tr w14:paraId="13A88CA1">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53930611">
            <w:pPr>
              <w:widowControl/>
              <w:jc w:val="center"/>
              <w:rPr>
                <w:rFonts w:ascii="宋体" w:hAnsi="宋体"/>
                <w:kern w:val="0"/>
                <w:sz w:val="18"/>
                <w:szCs w:val="18"/>
              </w:rPr>
            </w:pPr>
            <w:r>
              <w:rPr>
                <w:rFonts w:ascii="宋体" w:hAnsi="宋体"/>
                <w:kern w:val="0"/>
                <w:sz w:val="18"/>
                <w:szCs w:val="18"/>
              </w:rPr>
              <w:t>18</w:t>
            </w:r>
          </w:p>
        </w:tc>
        <w:tc>
          <w:tcPr>
            <w:tcW w:w="1220" w:type="dxa"/>
            <w:tcBorders>
              <w:top w:val="nil"/>
              <w:left w:val="nil"/>
              <w:bottom w:val="single" w:color="auto" w:sz="4" w:space="0"/>
              <w:right w:val="single" w:color="auto" w:sz="4" w:space="0"/>
            </w:tcBorders>
            <w:vAlign w:val="center"/>
          </w:tcPr>
          <w:p w14:paraId="4A5C8A33">
            <w:pPr>
              <w:widowControl/>
              <w:jc w:val="center"/>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5B2EA011">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26BF8857">
            <w:pPr>
              <w:widowControl/>
              <w:jc w:val="left"/>
              <w:rPr>
                <w:rFonts w:ascii="宋体" w:hAnsi="宋体"/>
                <w:kern w:val="0"/>
                <w:sz w:val="18"/>
                <w:szCs w:val="18"/>
              </w:rPr>
            </w:pPr>
            <w:r>
              <w:rPr>
                <w:rFonts w:ascii="宋体" w:hAnsi="宋体"/>
                <w:kern w:val="0"/>
                <w:sz w:val="18"/>
                <w:szCs w:val="18"/>
              </w:rPr>
              <w:t>硬盘其他参数要求</w:t>
            </w:r>
          </w:p>
        </w:tc>
        <w:tc>
          <w:tcPr>
            <w:tcW w:w="8860" w:type="dxa"/>
            <w:tcBorders>
              <w:top w:val="nil"/>
              <w:left w:val="nil"/>
              <w:bottom w:val="single" w:color="auto" w:sz="4" w:space="0"/>
              <w:right w:val="single" w:color="auto" w:sz="4" w:space="0"/>
            </w:tcBorders>
            <w:vAlign w:val="center"/>
          </w:tcPr>
          <w:p w14:paraId="1CDE351E">
            <w:pPr>
              <w:widowControl/>
              <w:jc w:val="left"/>
              <w:rPr>
                <w:rFonts w:ascii="宋体" w:hAnsi="宋体"/>
                <w:kern w:val="0"/>
                <w:sz w:val="18"/>
                <w:szCs w:val="18"/>
              </w:rPr>
            </w:pPr>
            <w:r>
              <w:rPr>
                <w:rFonts w:ascii="宋体" w:hAnsi="宋体"/>
                <w:kern w:val="0"/>
                <w:sz w:val="18"/>
                <w:szCs w:val="18"/>
              </w:rPr>
              <w:t>a)机械硬盘准备时间应不大于30s；侧面固定螺丝孔数量可为4孔或6孔；工作状态环境温度应满足5℃~55℃，其它参数应符合GB/T12628的相关规定；b)若服务器支持固态盘，固态盘符合SJ/T11654相关规定</w:t>
            </w:r>
          </w:p>
        </w:tc>
      </w:tr>
      <w:tr w14:paraId="6C3540AC">
        <w:tblPrEx>
          <w:tblCellMar>
            <w:top w:w="0" w:type="dxa"/>
            <w:left w:w="108" w:type="dxa"/>
            <w:bottom w:w="0" w:type="dxa"/>
            <w:right w:w="108" w:type="dxa"/>
          </w:tblCellMar>
        </w:tblPrEx>
        <w:trPr>
          <w:trHeight w:val="926" w:hRule="atLeast"/>
        </w:trPr>
        <w:tc>
          <w:tcPr>
            <w:tcW w:w="480" w:type="dxa"/>
            <w:tcBorders>
              <w:top w:val="nil"/>
              <w:left w:val="single" w:color="auto" w:sz="4" w:space="0"/>
              <w:bottom w:val="single" w:color="auto" w:sz="4" w:space="0"/>
              <w:right w:val="single" w:color="auto" w:sz="4" w:space="0"/>
            </w:tcBorders>
            <w:vAlign w:val="center"/>
          </w:tcPr>
          <w:p w14:paraId="4427AFF7">
            <w:pPr>
              <w:widowControl/>
              <w:jc w:val="center"/>
              <w:rPr>
                <w:rFonts w:ascii="宋体" w:hAnsi="宋体"/>
                <w:kern w:val="0"/>
                <w:sz w:val="18"/>
                <w:szCs w:val="18"/>
              </w:rPr>
            </w:pPr>
            <w:r>
              <w:rPr>
                <w:rFonts w:ascii="宋体" w:hAnsi="宋体"/>
                <w:kern w:val="0"/>
                <w:sz w:val="18"/>
                <w:szCs w:val="18"/>
              </w:rPr>
              <w:t>19</w:t>
            </w:r>
          </w:p>
        </w:tc>
        <w:tc>
          <w:tcPr>
            <w:tcW w:w="1220" w:type="dxa"/>
            <w:tcBorders>
              <w:top w:val="nil"/>
              <w:left w:val="nil"/>
              <w:bottom w:val="single" w:color="auto" w:sz="4" w:space="0"/>
              <w:right w:val="single" w:color="auto" w:sz="4" w:space="0"/>
            </w:tcBorders>
            <w:vAlign w:val="center"/>
          </w:tcPr>
          <w:p w14:paraId="41966867">
            <w:pPr>
              <w:widowControl/>
              <w:jc w:val="center"/>
              <w:rPr>
                <w:rFonts w:ascii="宋体" w:hAnsi="宋体"/>
                <w:kern w:val="0"/>
                <w:sz w:val="18"/>
                <w:szCs w:val="18"/>
              </w:rPr>
            </w:pPr>
            <w:r>
              <w:rPr>
                <w:rFonts w:ascii="宋体" w:hAnsi="宋体"/>
                <w:kern w:val="0"/>
                <w:sz w:val="18"/>
                <w:szCs w:val="18"/>
              </w:rPr>
              <w:t>产品规格</w:t>
            </w:r>
          </w:p>
        </w:tc>
        <w:tc>
          <w:tcPr>
            <w:tcW w:w="820" w:type="dxa"/>
            <w:tcBorders>
              <w:top w:val="nil"/>
              <w:left w:val="nil"/>
              <w:bottom w:val="single" w:color="auto" w:sz="4" w:space="0"/>
              <w:right w:val="single" w:color="auto" w:sz="4" w:space="0"/>
            </w:tcBorders>
            <w:vAlign w:val="center"/>
          </w:tcPr>
          <w:p w14:paraId="423010CF">
            <w:pPr>
              <w:widowControl/>
              <w:jc w:val="center"/>
              <w:rPr>
                <w:rFonts w:ascii="宋体" w:hAnsi="宋体"/>
                <w:kern w:val="0"/>
                <w:sz w:val="18"/>
                <w:szCs w:val="18"/>
              </w:rPr>
            </w:pPr>
            <w:r>
              <w:rPr>
                <w:rFonts w:ascii="宋体" w:hAnsi="宋体"/>
                <w:kern w:val="0"/>
                <w:sz w:val="18"/>
                <w:szCs w:val="18"/>
              </w:rPr>
              <w:t>RAID卡规格（若支持RAID卡）</w:t>
            </w:r>
          </w:p>
        </w:tc>
        <w:tc>
          <w:tcPr>
            <w:tcW w:w="1320" w:type="dxa"/>
            <w:tcBorders>
              <w:top w:val="nil"/>
              <w:left w:val="nil"/>
              <w:bottom w:val="single" w:color="auto" w:sz="4" w:space="0"/>
              <w:right w:val="single" w:color="auto" w:sz="4" w:space="0"/>
            </w:tcBorders>
            <w:vAlign w:val="center"/>
          </w:tcPr>
          <w:p w14:paraId="4901A36D">
            <w:pPr>
              <w:widowControl/>
              <w:jc w:val="left"/>
              <w:rPr>
                <w:rFonts w:ascii="宋体" w:hAnsi="宋体"/>
                <w:kern w:val="0"/>
                <w:sz w:val="18"/>
                <w:szCs w:val="18"/>
              </w:rPr>
            </w:pPr>
            <w:r>
              <w:rPr>
                <w:rFonts w:ascii="宋体" w:hAnsi="宋体"/>
                <w:kern w:val="0"/>
                <w:sz w:val="18"/>
                <w:szCs w:val="18"/>
              </w:rPr>
              <w:t>RAID卡支持的SAS</w:t>
            </w:r>
          </w:p>
        </w:tc>
        <w:tc>
          <w:tcPr>
            <w:tcW w:w="8860" w:type="dxa"/>
            <w:tcBorders>
              <w:top w:val="nil"/>
              <w:left w:val="nil"/>
              <w:bottom w:val="single" w:color="auto" w:sz="4" w:space="0"/>
              <w:right w:val="single" w:color="auto" w:sz="4" w:space="0"/>
            </w:tcBorders>
            <w:vAlign w:val="center"/>
          </w:tcPr>
          <w:p w14:paraId="5EE75859">
            <w:pPr>
              <w:widowControl/>
              <w:jc w:val="left"/>
              <w:rPr>
                <w:rFonts w:ascii="宋体" w:hAnsi="宋体"/>
                <w:kern w:val="0"/>
                <w:sz w:val="18"/>
                <w:szCs w:val="18"/>
              </w:rPr>
            </w:pPr>
            <w:r>
              <w:rPr>
                <w:rFonts w:ascii="宋体" w:hAnsi="宋体"/>
                <w:kern w:val="0"/>
                <w:sz w:val="18"/>
                <w:szCs w:val="18"/>
              </w:rPr>
              <w:t>≥8</w:t>
            </w:r>
          </w:p>
        </w:tc>
      </w:tr>
      <w:tr w14:paraId="1AA5FE92">
        <w:tblPrEx>
          <w:tblCellMar>
            <w:top w:w="0" w:type="dxa"/>
            <w:left w:w="108" w:type="dxa"/>
            <w:bottom w:w="0" w:type="dxa"/>
            <w:right w:w="108" w:type="dxa"/>
          </w:tblCellMar>
        </w:tblPrEx>
        <w:trPr>
          <w:trHeight w:val="1158" w:hRule="atLeast"/>
        </w:trPr>
        <w:tc>
          <w:tcPr>
            <w:tcW w:w="480" w:type="dxa"/>
            <w:tcBorders>
              <w:top w:val="nil"/>
              <w:left w:val="single" w:color="auto" w:sz="4" w:space="0"/>
              <w:bottom w:val="single" w:color="auto" w:sz="4" w:space="0"/>
              <w:right w:val="single" w:color="auto" w:sz="4" w:space="0"/>
            </w:tcBorders>
            <w:vAlign w:val="center"/>
          </w:tcPr>
          <w:p w14:paraId="51FEE75E">
            <w:pPr>
              <w:widowControl/>
              <w:jc w:val="center"/>
              <w:rPr>
                <w:rFonts w:ascii="宋体" w:hAnsi="宋体"/>
                <w:kern w:val="0"/>
                <w:sz w:val="18"/>
                <w:szCs w:val="18"/>
              </w:rPr>
            </w:pPr>
            <w:r>
              <w:rPr>
                <w:rFonts w:ascii="宋体" w:hAnsi="宋体"/>
                <w:kern w:val="0"/>
                <w:sz w:val="18"/>
                <w:szCs w:val="18"/>
              </w:rPr>
              <w:t>20</w:t>
            </w:r>
          </w:p>
        </w:tc>
        <w:tc>
          <w:tcPr>
            <w:tcW w:w="1220" w:type="dxa"/>
            <w:tcBorders>
              <w:top w:val="nil"/>
              <w:left w:val="nil"/>
              <w:bottom w:val="single" w:color="auto" w:sz="4" w:space="0"/>
              <w:right w:val="single" w:color="auto" w:sz="4" w:space="0"/>
            </w:tcBorders>
            <w:vAlign w:val="center"/>
          </w:tcPr>
          <w:p w14:paraId="3AFED5BE">
            <w:pPr>
              <w:widowControl/>
              <w:jc w:val="left"/>
              <w:rPr>
                <w:rFonts w:ascii="宋体" w:hAnsi="宋体"/>
                <w:kern w:val="0"/>
                <w:sz w:val="18"/>
                <w:szCs w:val="18"/>
              </w:rPr>
            </w:pPr>
            <w:r>
              <w:rPr>
                <w:rFonts w:ascii="宋体" w:hAnsi="宋体"/>
                <w:kern w:val="0"/>
                <w:sz w:val="18"/>
                <w:szCs w:val="18"/>
              </w:rPr>
              <w:t>产品规格</w:t>
            </w:r>
          </w:p>
        </w:tc>
        <w:tc>
          <w:tcPr>
            <w:tcW w:w="820" w:type="dxa"/>
            <w:tcBorders>
              <w:top w:val="nil"/>
              <w:left w:val="nil"/>
              <w:bottom w:val="single" w:color="auto" w:sz="4" w:space="0"/>
              <w:right w:val="single" w:color="auto" w:sz="4" w:space="0"/>
            </w:tcBorders>
            <w:vAlign w:val="center"/>
          </w:tcPr>
          <w:p w14:paraId="5D5AB6A2">
            <w:pPr>
              <w:widowControl/>
              <w:jc w:val="center"/>
              <w:rPr>
                <w:rFonts w:ascii="宋体" w:hAnsi="宋体"/>
                <w:kern w:val="0"/>
                <w:sz w:val="18"/>
                <w:szCs w:val="18"/>
              </w:rPr>
            </w:pPr>
            <w:r>
              <w:rPr>
                <w:rFonts w:ascii="宋体" w:hAnsi="宋体"/>
                <w:kern w:val="0"/>
                <w:sz w:val="18"/>
                <w:szCs w:val="18"/>
              </w:rPr>
              <w:t>SAS直通卡规格(若支持SAS直通卡)</w:t>
            </w:r>
          </w:p>
        </w:tc>
        <w:tc>
          <w:tcPr>
            <w:tcW w:w="1320" w:type="dxa"/>
            <w:tcBorders>
              <w:top w:val="nil"/>
              <w:left w:val="nil"/>
              <w:bottom w:val="single" w:color="auto" w:sz="4" w:space="0"/>
              <w:right w:val="single" w:color="auto" w:sz="4" w:space="0"/>
            </w:tcBorders>
            <w:vAlign w:val="center"/>
          </w:tcPr>
          <w:p w14:paraId="7C1D522B">
            <w:pPr>
              <w:widowControl/>
              <w:jc w:val="left"/>
              <w:rPr>
                <w:rFonts w:ascii="宋体" w:hAnsi="宋体"/>
                <w:kern w:val="0"/>
                <w:sz w:val="18"/>
                <w:szCs w:val="18"/>
              </w:rPr>
            </w:pPr>
            <w:r>
              <w:rPr>
                <w:rFonts w:ascii="宋体" w:hAnsi="宋体"/>
                <w:kern w:val="0"/>
                <w:sz w:val="18"/>
                <w:szCs w:val="18"/>
              </w:rPr>
              <w:t>SAS直通卡SAS接口数量</w:t>
            </w:r>
          </w:p>
        </w:tc>
        <w:tc>
          <w:tcPr>
            <w:tcW w:w="8860" w:type="dxa"/>
            <w:tcBorders>
              <w:top w:val="nil"/>
              <w:left w:val="nil"/>
              <w:bottom w:val="single" w:color="auto" w:sz="4" w:space="0"/>
              <w:right w:val="single" w:color="auto" w:sz="4" w:space="0"/>
            </w:tcBorders>
            <w:vAlign w:val="center"/>
          </w:tcPr>
          <w:p w14:paraId="0BE63C5A">
            <w:pPr>
              <w:widowControl/>
              <w:jc w:val="left"/>
              <w:rPr>
                <w:rFonts w:ascii="宋体" w:hAnsi="宋体"/>
                <w:kern w:val="0"/>
                <w:sz w:val="18"/>
                <w:szCs w:val="18"/>
              </w:rPr>
            </w:pPr>
            <w:r>
              <w:rPr>
                <w:rFonts w:ascii="宋体" w:hAnsi="宋体"/>
                <w:kern w:val="0"/>
                <w:sz w:val="18"/>
                <w:szCs w:val="18"/>
              </w:rPr>
              <w:t>≥0</w:t>
            </w:r>
          </w:p>
        </w:tc>
      </w:tr>
      <w:tr w14:paraId="1BACBDB1">
        <w:tblPrEx>
          <w:tblCellMar>
            <w:top w:w="0" w:type="dxa"/>
            <w:left w:w="108" w:type="dxa"/>
            <w:bottom w:w="0" w:type="dxa"/>
            <w:right w:w="108" w:type="dxa"/>
          </w:tblCellMar>
        </w:tblPrEx>
        <w:trPr>
          <w:trHeight w:val="926" w:hRule="atLeast"/>
        </w:trPr>
        <w:tc>
          <w:tcPr>
            <w:tcW w:w="480" w:type="dxa"/>
            <w:tcBorders>
              <w:top w:val="nil"/>
              <w:left w:val="single" w:color="auto" w:sz="4" w:space="0"/>
              <w:bottom w:val="single" w:color="auto" w:sz="4" w:space="0"/>
              <w:right w:val="single" w:color="auto" w:sz="4" w:space="0"/>
            </w:tcBorders>
            <w:vAlign w:val="center"/>
          </w:tcPr>
          <w:p w14:paraId="6D23F184">
            <w:pPr>
              <w:widowControl/>
              <w:jc w:val="center"/>
              <w:rPr>
                <w:rFonts w:ascii="宋体" w:hAnsi="宋体"/>
                <w:kern w:val="0"/>
                <w:sz w:val="18"/>
                <w:szCs w:val="18"/>
              </w:rPr>
            </w:pPr>
            <w:r>
              <w:rPr>
                <w:rFonts w:ascii="宋体" w:hAnsi="宋体"/>
                <w:kern w:val="0"/>
                <w:sz w:val="18"/>
                <w:szCs w:val="18"/>
              </w:rPr>
              <w:t>21</w:t>
            </w:r>
          </w:p>
        </w:tc>
        <w:tc>
          <w:tcPr>
            <w:tcW w:w="1220" w:type="dxa"/>
            <w:tcBorders>
              <w:top w:val="nil"/>
              <w:left w:val="nil"/>
              <w:bottom w:val="single" w:color="auto" w:sz="4" w:space="0"/>
              <w:right w:val="single" w:color="auto" w:sz="4" w:space="0"/>
            </w:tcBorders>
            <w:vAlign w:val="center"/>
          </w:tcPr>
          <w:p w14:paraId="16F543ED">
            <w:pPr>
              <w:widowControl/>
              <w:jc w:val="left"/>
              <w:rPr>
                <w:rFonts w:ascii="宋体" w:hAnsi="宋体"/>
                <w:kern w:val="0"/>
                <w:sz w:val="18"/>
                <w:szCs w:val="18"/>
              </w:rPr>
            </w:pPr>
            <w:r>
              <w:rPr>
                <w:rFonts w:ascii="宋体" w:hAnsi="宋体"/>
                <w:kern w:val="0"/>
                <w:sz w:val="18"/>
                <w:szCs w:val="18"/>
              </w:rPr>
              <w:t>产品规格</w:t>
            </w:r>
          </w:p>
        </w:tc>
        <w:tc>
          <w:tcPr>
            <w:tcW w:w="820" w:type="dxa"/>
            <w:tcBorders>
              <w:top w:val="nil"/>
              <w:left w:val="nil"/>
              <w:bottom w:val="single" w:color="auto" w:sz="4" w:space="0"/>
              <w:right w:val="single" w:color="auto" w:sz="4" w:space="0"/>
            </w:tcBorders>
            <w:vAlign w:val="center"/>
          </w:tcPr>
          <w:p w14:paraId="5A3B8F06">
            <w:pPr>
              <w:widowControl/>
              <w:jc w:val="center"/>
              <w:rPr>
                <w:rFonts w:ascii="宋体" w:hAnsi="宋体"/>
                <w:kern w:val="0"/>
                <w:sz w:val="18"/>
                <w:szCs w:val="18"/>
              </w:rPr>
            </w:pPr>
            <w:r>
              <w:rPr>
                <w:rFonts w:ascii="宋体" w:hAnsi="宋体"/>
                <w:kern w:val="0"/>
                <w:sz w:val="18"/>
                <w:szCs w:val="18"/>
              </w:rPr>
              <w:t>HBA卡规格(若支持HBA直通卡)</w:t>
            </w:r>
          </w:p>
        </w:tc>
        <w:tc>
          <w:tcPr>
            <w:tcW w:w="1320" w:type="dxa"/>
            <w:tcBorders>
              <w:top w:val="nil"/>
              <w:left w:val="nil"/>
              <w:bottom w:val="single" w:color="auto" w:sz="4" w:space="0"/>
              <w:right w:val="single" w:color="auto" w:sz="4" w:space="0"/>
            </w:tcBorders>
            <w:vAlign w:val="center"/>
          </w:tcPr>
          <w:p w14:paraId="39EAAE4D">
            <w:pPr>
              <w:widowControl/>
              <w:jc w:val="left"/>
              <w:rPr>
                <w:rFonts w:ascii="宋体" w:hAnsi="宋体"/>
                <w:kern w:val="0"/>
                <w:sz w:val="18"/>
                <w:szCs w:val="18"/>
              </w:rPr>
            </w:pPr>
            <w:r>
              <w:rPr>
                <w:rFonts w:ascii="宋体" w:hAnsi="宋体"/>
                <w:kern w:val="0"/>
                <w:sz w:val="18"/>
                <w:szCs w:val="18"/>
              </w:rPr>
              <w:t>HBA卡端口数量</w:t>
            </w:r>
          </w:p>
        </w:tc>
        <w:tc>
          <w:tcPr>
            <w:tcW w:w="8860" w:type="dxa"/>
            <w:tcBorders>
              <w:top w:val="nil"/>
              <w:left w:val="nil"/>
              <w:bottom w:val="single" w:color="auto" w:sz="4" w:space="0"/>
              <w:right w:val="single" w:color="auto" w:sz="4" w:space="0"/>
            </w:tcBorders>
            <w:vAlign w:val="center"/>
          </w:tcPr>
          <w:p w14:paraId="7B2D80A2">
            <w:pPr>
              <w:widowControl/>
              <w:jc w:val="left"/>
              <w:rPr>
                <w:rFonts w:ascii="宋体" w:hAnsi="宋体"/>
                <w:kern w:val="0"/>
                <w:sz w:val="18"/>
                <w:szCs w:val="18"/>
              </w:rPr>
            </w:pPr>
            <w:r>
              <w:rPr>
                <w:rFonts w:ascii="宋体" w:hAnsi="宋体"/>
                <w:kern w:val="0"/>
                <w:sz w:val="18"/>
                <w:szCs w:val="18"/>
              </w:rPr>
              <w:t>≥0</w:t>
            </w:r>
          </w:p>
        </w:tc>
      </w:tr>
      <w:tr w14:paraId="4B5E8B1E">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4CF5E613">
            <w:pPr>
              <w:widowControl/>
              <w:jc w:val="center"/>
              <w:rPr>
                <w:rFonts w:ascii="宋体" w:hAnsi="宋体"/>
                <w:kern w:val="0"/>
                <w:sz w:val="18"/>
                <w:szCs w:val="18"/>
              </w:rPr>
            </w:pPr>
            <w:r>
              <w:rPr>
                <w:rFonts w:ascii="宋体" w:hAnsi="宋体"/>
                <w:kern w:val="0"/>
                <w:sz w:val="18"/>
                <w:szCs w:val="18"/>
              </w:rPr>
              <w:t>22</w:t>
            </w:r>
          </w:p>
        </w:tc>
        <w:tc>
          <w:tcPr>
            <w:tcW w:w="1220" w:type="dxa"/>
            <w:tcBorders>
              <w:top w:val="nil"/>
              <w:left w:val="nil"/>
              <w:bottom w:val="single" w:color="auto" w:sz="4" w:space="0"/>
              <w:right w:val="single" w:color="auto" w:sz="4" w:space="0"/>
            </w:tcBorders>
            <w:vAlign w:val="center"/>
          </w:tcPr>
          <w:p w14:paraId="10883847">
            <w:pPr>
              <w:widowControl/>
              <w:jc w:val="left"/>
              <w:rPr>
                <w:rFonts w:ascii="宋体" w:hAnsi="宋体"/>
                <w:kern w:val="0"/>
                <w:sz w:val="18"/>
                <w:szCs w:val="18"/>
              </w:rPr>
            </w:pPr>
            <w:r>
              <w:rPr>
                <w:rFonts w:ascii="宋体" w:hAnsi="宋体"/>
                <w:kern w:val="0"/>
                <w:sz w:val="18"/>
                <w:szCs w:val="18"/>
              </w:rPr>
              <w:t>产品规格</w:t>
            </w:r>
          </w:p>
        </w:tc>
        <w:tc>
          <w:tcPr>
            <w:tcW w:w="820" w:type="dxa"/>
            <w:vMerge w:val="restart"/>
            <w:tcBorders>
              <w:top w:val="nil"/>
              <w:left w:val="single" w:color="auto" w:sz="4" w:space="0"/>
              <w:bottom w:val="single" w:color="auto" w:sz="4" w:space="0"/>
              <w:right w:val="single" w:color="auto" w:sz="4" w:space="0"/>
            </w:tcBorders>
            <w:vAlign w:val="center"/>
          </w:tcPr>
          <w:p w14:paraId="54E3B94F">
            <w:pPr>
              <w:widowControl/>
              <w:jc w:val="center"/>
              <w:rPr>
                <w:rFonts w:ascii="宋体" w:hAnsi="宋体"/>
                <w:kern w:val="0"/>
                <w:sz w:val="18"/>
                <w:szCs w:val="18"/>
              </w:rPr>
            </w:pPr>
            <w:r>
              <w:rPr>
                <w:rFonts w:ascii="宋体" w:hAnsi="宋体"/>
                <w:kern w:val="0"/>
                <w:sz w:val="18"/>
                <w:szCs w:val="18"/>
              </w:rPr>
              <w:t>网络规格</w:t>
            </w:r>
          </w:p>
        </w:tc>
        <w:tc>
          <w:tcPr>
            <w:tcW w:w="1320" w:type="dxa"/>
            <w:tcBorders>
              <w:top w:val="nil"/>
              <w:left w:val="nil"/>
              <w:bottom w:val="single" w:color="auto" w:sz="4" w:space="0"/>
              <w:right w:val="single" w:color="auto" w:sz="4" w:space="0"/>
            </w:tcBorders>
            <w:vAlign w:val="center"/>
          </w:tcPr>
          <w:p w14:paraId="3F48EA69">
            <w:pPr>
              <w:widowControl/>
              <w:jc w:val="left"/>
              <w:rPr>
                <w:rFonts w:ascii="宋体" w:hAnsi="宋体"/>
                <w:kern w:val="0"/>
                <w:sz w:val="18"/>
                <w:szCs w:val="18"/>
              </w:rPr>
            </w:pPr>
            <w:r>
              <w:rPr>
                <w:rFonts w:ascii="宋体" w:hAnsi="宋体"/>
                <w:kern w:val="0"/>
                <w:sz w:val="18"/>
                <w:szCs w:val="18"/>
              </w:rPr>
              <w:t>★网口速率和数量</w:t>
            </w:r>
          </w:p>
        </w:tc>
        <w:tc>
          <w:tcPr>
            <w:tcW w:w="8860" w:type="dxa"/>
            <w:tcBorders>
              <w:top w:val="nil"/>
              <w:left w:val="nil"/>
              <w:bottom w:val="single" w:color="auto" w:sz="4" w:space="0"/>
              <w:right w:val="single" w:color="auto" w:sz="4" w:space="0"/>
            </w:tcBorders>
            <w:vAlign w:val="center"/>
          </w:tcPr>
          <w:p w14:paraId="6B558865">
            <w:pPr>
              <w:widowControl/>
              <w:jc w:val="left"/>
              <w:rPr>
                <w:rFonts w:ascii="宋体" w:hAnsi="宋体"/>
                <w:kern w:val="0"/>
                <w:sz w:val="18"/>
                <w:szCs w:val="18"/>
              </w:rPr>
            </w:pPr>
            <w:r>
              <w:rPr>
                <w:rFonts w:ascii="宋体" w:hAnsi="宋体"/>
                <w:kern w:val="0"/>
                <w:sz w:val="18"/>
                <w:szCs w:val="18"/>
              </w:rPr>
              <w:t>配备网口数量不少于4个，且网口速率不少于1GE</w:t>
            </w:r>
          </w:p>
        </w:tc>
      </w:tr>
      <w:tr w14:paraId="7FEC6EE2">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050BE4A1">
            <w:pPr>
              <w:widowControl/>
              <w:jc w:val="center"/>
              <w:rPr>
                <w:rFonts w:ascii="宋体" w:hAnsi="宋体"/>
                <w:kern w:val="0"/>
                <w:sz w:val="18"/>
                <w:szCs w:val="18"/>
              </w:rPr>
            </w:pPr>
            <w:r>
              <w:rPr>
                <w:rFonts w:ascii="宋体" w:hAnsi="宋体"/>
                <w:kern w:val="0"/>
                <w:sz w:val="18"/>
                <w:szCs w:val="18"/>
              </w:rPr>
              <w:t>23</w:t>
            </w:r>
          </w:p>
        </w:tc>
        <w:tc>
          <w:tcPr>
            <w:tcW w:w="1220" w:type="dxa"/>
            <w:tcBorders>
              <w:top w:val="nil"/>
              <w:left w:val="nil"/>
              <w:bottom w:val="single" w:color="auto" w:sz="4" w:space="0"/>
              <w:right w:val="single" w:color="auto" w:sz="4" w:space="0"/>
            </w:tcBorders>
            <w:vAlign w:val="center"/>
          </w:tcPr>
          <w:p w14:paraId="344EA917">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48B99E76">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1400FD2C">
            <w:pPr>
              <w:widowControl/>
              <w:jc w:val="left"/>
              <w:rPr>
                <w:rFonts w:ascii="宋体" w:hAnsi="宋体"/>
                <w:kern w:val="0"/>
                <w:sz w:val="18"/>
                <w:szCs w:val="18"/>
              </w:rPr>
            </w:pPr>
            <w:r>
              <w:rPr>
                <w:rFonts w:ascii="宋体" w:hAnsi="宋体"/>
                <w:kern w:val="0"/>
                <w:sz w:val="18"/>
                <w:szCs w:val="18"/>
              </w:rPr>
              <w:t>存储型服务器网口速率和数量</w:t>
            </w:r>
          </w:p>
        </w:tc>
        <w:tc>
          <w:tcPr>
            <w:tcW w:w="8860" w:type="dxa"/>
            <w:tcBorders>
              <w:top w:val="nil"/>
              <w:left w:val="nil"/>
              <w:bottom w:val="single" w:color="auto" w:sz="4" w:space="0"/>
              <w:right w:val="single" w:color="auto" w:sz="4" w:space="0"/>
            </w:tcBorders>
            <w:vAlign w:val="center"/>
          </w:tcPr>
          <w:p w14:paraId="04FD2E78">
            <w:pPr>
              <w:widowControl/>
              <w:jc w:val="left"/>
              <w:rPr>
                <w:rFonts w:ascii="宋体" w:hAnsi="宋体"/>
                <w:kern w:val="0"/>
                <w:sz w:val="18"/>
                <w:szCs w:val="18"/>
              </w:rPr>
            </w:pPr>
            <w:r>
              <w:rPr>
                <w:rFonts w:ascii="宋体" w:hAnsi="宋体"/>
                <w:kern w:val="0"/>
                <w:sz w:val="18"/>
                <w:szCs w:val="18"/>
              </w:rPr>
              <w:t>存储型服务器1GE网口数量不少于2个，10GE以上网口数量不少于2个</w:t>
            </w:r>
          </w:p>
        </w:tc>
      </w:tr>
      <w:tr w14:paraId="18A0B29C">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2C66C445">
            <w:pPr>
              <w:widowControl/>
              <w:jc w:val="center"/>
              <w:rPr>
                <w:rFonts w:ascii="宋体" w:hAnsi="宋体"/>
                <w:kern w:val="0"/>
                <w:sz w:val="18"/>
                <w:szCs w:val="18"/>
              </w:rPr>
            </w:pPr>
            <w:r>
              <w:rPr>
                <w:rFonts w:ascii="宋体" w:hAnsi="宋体"/>
                <w:kern w:val="0"/>
                <w:sz w:val="18"/>
                <w:szCs w:val="18"/>
              </w:rPr>
              <w:t>24</w:t>
            </w:r>
          </w:p>
        </w:tc>
        <w:tc>
          <w:tcPr>
            <w:tcW w:w="1220" w:type="dxa"/>
            <w:tcBorders>
              <w:top w:val="nil"/>
              <w:left w:val="nil"/>
              <w:bottom w:val="single" w:color="auto" w:sz="4" w:space="0"/>
              <w:right w:val="single" w:color="auto" w:sz="4" w:space="0"/>
            </w:tcBorders>
            <w:vAlign w:val="center"/>
          </w:tcPr>
          <w:p w14:paraId="7D8461C1">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5AA72F62">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5AD1AF9F">
            <w:pPr>
              <w:widowControl/>
              <w:jc w:val="left"/>
              <w:rPr>
                <w:rFonts w:ascii="宋体" w:hAnsi="宋体"/>
                <w:kern w:val="0"/>
                <w:sz w:val="18"/>
                <w:szCs w:val="18"/>
              </w:rPr>
            </w:pPr>
            <w:r>
              <w:rPr>
                <w:rFonts w:ascii="宋体" w:hAnsi="宋体"/>
                <w:kern w:val="0"/>
                <w:sz w:val="18"/>
                <w:szCs w:val="18"/>
              </w:rPr>
              <w:t>独立网卡网口数量</w:t>
            </w:r>
          </w:p>
        </w:tc>
        <w:tc>
          <w:tcPr>
            <w:tcW w:w="8860" w:type="dxa"/>
            <w:tcBorders>
              <w:top w:val="nil"/>
              <w:left w:val="nil"/>
              <w:bottom w:val="single" w:color="auto" w:sz="4" w:space="0"/>
              <w:right w:val="single" w:color="auto" w:sz="4" w:space="0"/>
            </w:tcBorders>
            <w:vAlign w:val="center"/>
          </w:tcPr>
          <w:p w14:paraId="394B4B9E">
            <w:pPr>
              <w:widowControl/>
              <w:jc w:val="left"/>
              <w:rPr>
                <w:rFonts w:ascii="宋体" w:hAnsi="宋体"/>
                <w:kern w:val="0"/>
                <w:sz w:val="18"/>
                <w:szCs w:val="18"/>
              </w:rPr>
            </w:pPr>
            <w:r>
              <w:rPr>
                <w:rFonts w:ascii="宋体" w:hAnsi="宋体"/>
                <w:kern w:val="0"/>
                <w:sz w:val="18"/>
                <w:szCs w:val="18"/>
              </w:rPr>
              <w:t>若配备独立网卡，独立网卡网口数量≥0</w:t>
            </w:r>
          </w:p>
        </w:tc>
      </w:tr>
      <w:tr w14:paraId="570C4BBC">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67F0C5B7">
            <w:pPr>
              <w:widowControl/>
              <w:jc w:val="center"/>
              <w:rPr>
                <w:rFonts w:ascii="宋体" w:hAnsi="宋体"/>
                <w:kern w:val="0"/>
                <w:sz w:val="18"/>
                <w:szCs w:val="18"/>
              </w:rPr>
            </w:pPr>
            <w:r>
              <w:rPr>
                <w:rFonts w:ascii="宋体" w:hAnsi="宋体"/>
                <w:kern w:val="0"/>
                <w:sz w:val="18"/>
                <w:szCs w:val="18"/>
              </w:rPr>
              <w:t>25</w:t>
            </w:r>
          </w:p>
        </w:tc>
        <w:tc>
          <w:tcPr>
            <w:tcW w:w="1220" w:type="dxa"/>
            <w:tcBorders>
              <w:top w:val="nil"/>
              <w:left w:val="nil"/>
              <w:bottom w:val="single" w:color="auto" w:sz="4" w:space="0"/>
              <w:right w:val="single" w:color="auto" w:sz="4" w:space="0"/>
            </w:tcBorders>
            <w:vAlign w:val="center"/>
          </w:tcPr>
          <w:p w14:paraId="1ADDDC6B">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4C5DADAB">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40DC46D2">
            <w:pPr>
              <w:widowControl/>
              <w:jc w:val="left"/>
              <w:rPr>
                <w:rFonts w:ascii="宋体" w:hAnsi="宋体"/>
                <w:kern w:val="0"/>
                <w:sz w:val="18"/>
                <w:szCs w:val="18"/>
              </w:rPr>
            </w:pPr>
            <w:r>
              <w:rPr>
                <w:rFonts w:ascii="宋体" w:hAnsi="宋体"/>
                <w:kern w:val="0"/>
                <w:sz w:val="18"/>
                <w:szCs w:val="18"/>
              </w:rPr>
              <w:t>独立网卡接口类型</w:t>
            </w:r>
          </w:p>
        </w:tc>
        <w:tc>
          <w:tcPr>
            <w:tcW w:w="8860" w:type="dxa"/>
            <w:tcBorders>
              <w:top w:val="nil"/>
              <w:left w:val="nil"/>
              <w:bottom w:val="single" w:color="auto" w:sz="4" w:space="0"/>
              <w:right w:val="single" w:color="auto" w:sz="4" w:space="0"/>
            </w:tcBorders>
            <w:vAlign w:val="center"/>
          </w:tcPr>
          <w:p w14:paraId="5D95CDFD">
            <w:pPr>
              <w:widowControl/>
              <w:jc w:val="left"/>
              <w:rPr>
                <w:rFonts w:ascii="宋体" w:hAnsi="宋体"/>
                <w:kern w:val="0"/>
                <w:sz w:val="18"/>
                <w:szCs w:val="18"/>
              </w:rPr>
            </w:pPr>
            <w:r>
              <w:rPr>
                <w:rFonts w:ascii="宋体" w:hAnsi="宋体"/>
                <w:kern w:val="0"/>
                <w:sz w:val="18"/>
                <w:szCs w:val="18"/>
              </w:rPr>
              <w:t>支持RJ45/QSFP/SFP等</w:t>
            </w:r>
          </w:p>
        </w:tc>
      </w:tr>
      <w:tr w14:paraId="555715E3">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0DC2498F">
            <w:pPr>
              <w:widowControl/>
              <w:jc w:val="center"/>
              <w:rPr>
                <w:rFonts w:ascii="宋体" w:hAnsi="宋体"/>
                <w:kern w:val="0"/>
                <w:sz w:val="18"/>
                <w:szCs w:val="18"/>
              </w:rPr>
            </w:pPr>
            <w:r>
              <w:rPr>
                <w:rFonts w:ascii="宋体" w:hAnsi="宋体"/>
                <w:kern w:val="0"/>
                <w:sz w:val="18"/>
                <w:szCs w:val="18"/>
              </w:rPr>
              <w:t>26</w:t>
            </w:r>
          </w:p>
        </w:tc>
        <w:tc>
          <w:tcPr>
            <w:tcW w:w="1220" w:type="dxa"/>
            <w:tcBorders>
              <w:top w:val="nil"/>
              <w:left w:val="nil"/>
              <w:bottom w:val="single" w:color="auto" w:sz="4" w:space="0"/>
              <w:right w:val="single" w:color="auto" w:sz="4" w:space="0"/>
            </w:tcBorders>
            <w:vAlign w:val="center"/>
          </w:tcPr>
          <w:p w14:paraId="718CB9C1">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3EBF13E7">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436B693F">
            <w:pPr>
              <w:widowControl/>
              <w:jc w:val="left"/>
              <w:rPr>
                <w:rFonts w:ascii="宋体" w:hAnsi="宋体"/>
                <w:kern w:val="0"/>
                <w:sz w:val="18"/>
                <w:szCs w:val="18"/>
              </w:rPr>
            </w:pPr>
            <w:r>
              <w:rPr>
                <w:rFonts w:ascii="宋体" w:hAnsi="宋体"/>
                <w:kern w:val="0"/>
                <w:sz w:val="18"/>
                <w:szCs w:val="18"/>
              </w:rPr>
              <w:t>板载网卡接口类型</w:t>
            </w:r>
          </w:p>
        </w:tc>
        <w:tc>
          <w:tcPr>
            <w:tcW w:w="8860" w:type="dxa"/>
            <w:tcBorders>
              <w:top w:val="nil"/>
              <w:left w:val="nil"/>
              <w:bottom w:val="single" w:color="auto" w:sz="4" w:space="0"/>
              <w:right w:val="single" w:color="auto" w:sz="4" w:space="0"/>
            </w:tcBorders>
            <w:vAlign w:val="center"/>
          </w:tcPr>
          <w:p w14:paraId="0AB1780C">
            <w:pPr>
              <w:widowControl/>
              <w:jc w:val="left"/>
              <w:rPr>
                <w:rFonts w:ascii="宋体" w:hAnsi="宋体"/>
                <w:kern w:val="0"/>
                <w:sz w:val="18"/>
                <w:szCs w:val="18"/>
              </w:rPr>
            </w:pPr>
            <w:r>
              <w:rPr>
                <w:rFonts w:ascii="宋体" w:hAnsi="宋体"/>
                <w:kern w:val="0"/>
                <w:sz w:val="18"/>
                <w:szCs w:val="18"/>
              </w:rPr>
              <w:t>支持RJ45/QSFP/SFP等</w:t>
            </w:r>
          </w:p>
        </w:tc>
      </w:tr>
      <w:tr w14:paraId="2EC4B821">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08EF81C8">
            <w:pPr>
              <w:widowControl/>
              <w:jc w:val="center"/>
              <w:rPr>
                <w:rFonts w:ascii="宋体" w:hAnsi="宋体"/>
                <w:kern w:val="0"/>
                <w:sz w:val="18"/>
                <w:szCs w:val="18"/>
              </w:rPr>
            </w:pPr>
            <w:r>
              <w:rPr>
                <w:rFonts w:ascii="宋体" w:hAnsi="宋体"/>
                <w:kern w:val="0"/>
                <w:sz w:val="18"/>
                <w:szCs w:val="18"/>
              </w:rPr>
              <w:t>27</w:t>
            </w:r>
          </w:p>
        </w:tc>
        <w:tc>
          <w:tcPr>
            <w:tcW w:w="1220" w:type="dxa"/>
            <w:tcBorders>
              <w:top w:val="nil"/>
              <w:left w:val="nil"/>
              <w:bottom w:val="single" w:color="auto" w:sz="4" w:space="0"/>
              <w:right w:val="single" w:color="auto" w:sz="4" w:space="0"/>
            </w:tcBorders>
            <w:vAlign w:val="center"/>
          </w:tcPr>
          <w:p w14:paraId="675280BD">
            <w:pPr>
              <w:widowControl/>
              <w:jc w:val="left"/>
              <w:rPr>
                <w:rFonts w:ascii="宋体" w:hAnsi="宋体"/>
                <w:kern w:val="0"/>
                <w:sz w:val="18"/>
                <w:szCs w:val="18"/>
              </w:rPr>
            </w:pPr>
            <w:r>
              <w:rPr>
                <w:rFonts w:ascii="宋体" w:hAnsi="宋体"/>
                <w:kern w:val="0"/>
                <w:sz w:val="18"/>
                <w:szCs w:val="18"/>
              </w:rPr>
              <w:t>产品规格</w:t>
            </w:r>
          </w:p>
        </w:tc>
        <w:tc>
          <w:tcPr>
            <w:tcW w:w="820" w:type="dxa"/>
            <w:vMerge w:val="restart"/>
            <w:tcBorders>
              <w:top w:val="nil"/>
              <w:left w:val="single" w:color="auto" w:sz="4" w:space="0"/>
              <w:bottom w:val="single" w:color="auto" w:sz="4" w:space="0"/>
              <w:right w:val="single" w:color="auto" w:sz="4" w:space="0"/>
            </w:tcBorders>
            <w:vAlign w:val="center"/>
          </w:tcPr>
          <w:p w14:paraId="6321BD82">
            <w:pPr>
              <w:widowControl/>
              <w:jc w:val="center"/>
              <w:rPr>
                <w:rFonts w:ascii="宋体" w:hAnsi="宋体"/>
                <w:kern w:val="0"/>
                <w:sz w:val="18"/>
                <w:szCs w:val="18"/>
              </w:rPr>
            </w:pPr>
            <w:r>
              <w:rPr>
                <w:rFonts w:ascii="宋体" w:hAnsi="宋体"/>
                <w:kern w:val="0"/>
                <w:sz w:val="18"/>
                <w:szCs w:val="18"/>
              </w:rPr>
              <w:t>外部接口规格</w:t>
            </w:r>
          </w:p>
        </w:tc>
        <w:tc>
          <w:tcPr>
            <w:tcW w:w="1320" w:type="dxa"/>
            <w:tcBorders>
              <w:top w:val="nil"/>
              <w:left w:val="nil"/>
              <w:bottom w:val="single" w:color="auto" w:sz="4" w:space="0"/>
              <w:right w:val="single" w:color="auto" w:sz="4" w:space="0"/>
            </w:tcBorders>
            <w:vAlign w:val="center"/>
          </w:tcPr>
          <w:p w14:paraId="206FFED1">
            <w:pPr>
              <w:widowControl/>
              <w:jc w:val="left"/>
              <w:rPr>
                <w:rFonts w:ascii="宋体" w:hAnsi="宋体"/>
                <w:kern w:val="0"/>
                <w:sz w:val="18"/>
                <w:szCs w:val="18"/>
              </w:rPr>
            </w:pPr>
            <w:r>
              <w:rPr>
                <w:rFonts w:ascii="宋体" w:hAnsi="宋体"/>
                <w:kern w:val="0"/>
                <w:sz w:val="18"/>
                <w:szCs w:val="18"/>
              </w:rPr>
              <w:t>★显示接口</w:t>
            </w:r>
          </w:p>
        </w:tc>
        <w:tc>
          <w:tcPr>
            <w:tcW w:w="8860" w:type="dxa"/>
            <w:tcBorders>
              <w:top w:val="nil"/>
              <w:left w:val="nil"/>
              <w:bottom w:val="single" w:color="auto" w:sz="4" w:space="0"/>
              <w:right w:val="single" w:color="auto" w:sz="4" w:space="0"/>
            </w:tcBorders>
            <w:vAlign w:val="center"/>
          </w:tcPr>
          <w:p w14:paraId="038F628F">
            <w:pPr>
              <w:widowControl/>
              <w:jc w:val="left"/>
              <w:rPr>
                <w:rFonts w:ascii="宋体" w:hAnsi="宋体"/>
                <w:kern w:val="0"/>
                <w:sz w:val="18"/>
                <w:szCs w:val="18"/>
              </w:rPr>
            </w:pPr>
            <w:r>
              <w:rPr>
                <w:rFonts w:ascii="宋体" w:hAnsi="宋体"/>
                <w:kern w:val="0"/>
                <w:sz w:val="18"/>
                <w:szCs w:val="18"/>
              </w:rPr>
              <w:t>显示接口类型应不少于1种，如：VGA、DP、HDMI等</w:t>
            </w:r>
          </w:p>
        </w:tc>
      </w:tr>
      <w:tr w14:paraId="2964BEF7">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4BD89BF6">
            <w:pPr>
              <w:widowControl/>
              <w:jc w:val="center"/>
              <w:rPr>
                <w:rFonts w:ascii="宋体" w:hAnsi="宋体"/>
                <w:kern w:val="0"/>
                <w:sz w:val="18"/>
                <w:szCs w:val="18"/>
              </w:rPr>
            </w:pPr>
            <w:r>
              <w:rPr>
                <w:rFonts w:ascii="宋体" w:hAnsi="宋体"/>
                <w:kern w:val="0"/>
                <w:sz w:val="18"/>
                <w:szCs w:val="18"/>
              </w:rPr>
              <w:t>28</w:t>
            </w:r>
          </w:p>
        </w:tc>
        <w:tc>
          <w:tcPr>
            <w:tcW w:w="1220" w:type="dxa"/>
            <w:tcBorders>
              <w:top w:val="nil"/>
              <w:left w:val="nil"/>
              <w:bottom w:val="single" w:color="auto" w:sz="4" w:space="0"/>
              <w:right w:val="single" w:color="auto" w:sz="4" w:space="0"/>
            </w:tcBorders>
            <w:vAlign w:val="center"/>
          </w:tcPr>
          <w:p w14:paraId="4FE3FB44">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782B43CE">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2ED52974">
            <w:pPr>
              <w:widowControl/>
              <w:jc w:val="left"/>
              <w:rPr>
                <w:rFonts w:ascii="宋体" w:hAnsi="宋体"/>
                <w:kern w:val="0"/>
                <w:sz w:val="18"/>
                <w:szCs w:val="18"/>
              </w:rPr>
            </w:pPr>
            <w:r>
              <w:rPr>
                <w:rFonts w:ascii="宋体" w:hAnsi="宋体"/>
                <w:kern w:val="0"/>
                <w:sz w:val="18"/>
                <w:szCs w:val="18"/>
              </w:rPr>
              <w:t>★USB接口</w:t>
            </w:r>
          </w:p>
        </w:tc>
        <w:tc>
          <w:tcPr>
            <w:tcW w:w="8860" w:type="dxa"/>
            <w:tcBorders>
              <w:top w:val="nil"/>
              <w:left w:val="nil"/>
              <w:bottom w:val="single" w:color="auto" w:sz="4" w:space="0"/>
              <w:right w:val="single" w:color="auto" w:sz="4" w:space="0"/>
            </w:tcBorders>
            <w:vAlign w:val="center"/>
          </w:tcPr>
          <w:p w14:paraId="42A4051B">
            <w:pPr>
              <w:widowControl/>
              <w:jc w:val="left"/>
              <w:rPr>
                <w:rFonts w:ascii="宋体" w:hAnsi="宋体"/>
                <w:kern w:val="0"/>
                <w:sz w:val="18"/>
                <w:szCs w:val="18"/>
              </w:rPr>
            </w:pPr>
            <w:r>
              <w:rPr>
                <w:rFonts w:ascii="宋体" w:hAnsi="宋体"/>
                <w:kern w:val="0"/>
                <w:sz w:val="18"/>
                <w:szCs w:val="18"/>
              </w:rPr>
              <w:t>配备USB 3.0接口≥4个</w:t>
            </w:r>
          </w:p>
        </w:tc>
      </w:tr>
      <w:tr w14:paraId="154D0F9B">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18FEE1A0">
            <w:pPr>
              <w:widowControl/>
              <w:jc w:val="center"/>
              <w:rPr>
                <w:rFonts w:ascii="宋体" w:hAnsi="宋体"/>
                <w:kern w:val="0"/>
                <w:sz w:val="18"/>
                <w:szCs w:val="18"/>
              </w:rPr>
            </w:pPr>
            <w:r>
              <w:rPr>
                <w:rFonts w:ascii="宋体" w:hAnsi="宋体"/>
                <w:kern w:val="0"/>
                <w:sz w:val="18"/>
                <w:szCs w:val="18"/>
              </w:rPr>
              <w:t>29</w:t>
            </w:r>
          </w:p>
        </w:tc>
        <w:tc>
          <w:tcPr>
            <w:tcW w:w="1220" w:type="dxa"/>
            <w:tcBorders>
              <w:top w:val="nil"/>
              <w:left w:val="nil"/>
              <w:bottom w:val="single" w:color="auto" w:sz="4" w:space="0"/>
              <w:right w:val="single" w:color="auto" w:sz="4" w:space="0"/>
            </w:tcBorders>
            <w:vAlign w:val="center"/>
          </w:tcPr>
          <w:p w14:paraId="05226D14">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14BF435A">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0887982F">
            <w:pPr>
              <w:widowControl/>
              <w:jc w:val="left"/>
              <w:rPr>
                <w:rFonts w:ascii="宋体" w:hAnsi="宋体"/>
                <w:kern w:val="0"/>
                <w:sz w:val="18"/>
                <w:szCs w:val="18"/>
              </w:rPr>
            </w:pPr>
            <w:r>
              <w:rPr>
                <w:rFonts w:ascii="宋体" w:hAnsi="宋体"/>
                <w:kern w:val="0"/>
                <w:sz w:val="18"/>
                <w:szCs w:val="18"/>
              </w:rPr>
              <w:t>特殊接口及孔位</w:t>
            </w:r>
          </w:p>
        </w:tc>
        <w:tc>
          <w:tcPr>
            <w:tcW w:w="8860" w:type="dxa"/>
            <w:tcBorders>
              <w:top w:val="nil"/>
              <w:left w:val="nil"/>
              <w:bottom w:val="single" w:color="auto" w:sz="4" w:space="0"/>
              <w:right w:val="single" w:color="auto" w:sz="4" w:space="0"/>
            </w:tcBorders>
            <w:vAlign w:val="center"/>
          </w:tcPr>
          <w:p w14:paraId="54E5F74C">
            <w:pPr>
              <w:widowControl/>
              <w:jc w:val="left"/>
              <w:rPr>
                <w:rFonts w:ascii="宋体" w:hAnsi="宋体"/>
                <w:kern w:val="0"/>
                <w:sz w:val="18"/>
                <w:szCs w:val="18"/>
              </w:rPr>
            </w:pPr>
            <w:r>
              <w:rPr>
                <w:rFonts w:ascii="宋体" w:hAnsi="宋体"/>
                <w:kern w:val="0"/>
                <w:sz w:val="18"/>
                <w:szCs w:val="18"/>
              </w:rPr>
              <w:t>前面板预留1个专用USB母座接口孔位</w:t>
            </w:r>
          </w:p>
        </w:tc>
      </w:tr>
      <w:tr w14:paraId="11FFAB35">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485C5D7D">
            <w:pPr>
              <w:widowControl/>
              <w:jc w:val="center"/>
              <w:rPr>
                <w:rFonts w:ascii="宋体" w:hAnsi="宋体"/>
                <w:kern w:val="0"/>
                <w:sz w:val="18"/>
                <w:szCs w:val="18"/>
              </w:rPr>
            </w:pPr>
            <w:r>
              <w:rPr>
                <w:rFonts w:ascii="宋体" w:hAnsi="宋体"/>
                <w:kern w:val="0"/>
                <w:sz w:val="18"/>
                <w:szCs w:val="18"/>
              </w:rPr>
              <w:t>30</w:t>
            </w:r>
          </w:p>
        </w:tc>
        <w:tc>
          <w:tcPr>
            <w:tcW w:w="1220" w:type="dxa"/>
            <w:tcBorders>
              <w:top w:val="nil"/>
              <w:left w:val="nil"/>
              <w:bottom w:val="single" w:color="auto" w:sz="4" w:space="0"/>
              <w:right w:val="single" w:color="auto" w:sz="4" w:space="0"/>
            </w:tcBorders>
            <w:vAlign w:val="center"/>
          </w:tcPr>
          <w:p w14:paraId="1A7B5662">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08ADBC81">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0C255E9C">
            <w:pPr>
              <w:widowControl/>
              <w:jc w:val="left"/>
              <w:rPr>
                <w:rFonts w:ascii="宋体" w:hAnsi="宋体"/>
                <w:kern w:val="0"/>
                <w:sz w:val="18"/>
                <w:szCs w:val="18"/>
              </w:rPr>
            </w:pPr>
            <w:r>
              <w:rPr>
                <w:rFonts w:ascii="宋体" w:hAnsi="宋体"/>
                <w:kern w:val="0"/>
                <w:sz w:val="18"/>
                <w:szCs w:val="18"/>
              </w:rPr>
              <w:t>其他接口</w:t>
            </w:r>
          </w:p>
        </w:tc>
        <w:tc>
          <w:tcPr>
            <w:tcW w:w="8860" w:type="dxa"/>
            <w:tcBorders>
              <w:top w:val="nil"/>
              <w:left w:val="nil"/>
              <w:bottom w:val="single" w:color="auto" w:sz="4" w:space="0"/>
              <w:right w:val="single" w:color="auto" w:sz="4" w:space="0"/>
            </w:tcBorders>
            <w:vAlign w:val="center"/>
          </w:tcPr>
          <w:p w14:paraId="10AB2D90">
            <w:pPr>
              <w:widowControl/>
              <w:jc w:val="left"/>
              <w:rPr>
                <w:rFonts w:ascii="宋体" w:hAnsi="宋体"/>
                <w:kern w:val="0"/>
                <w:sz w:val="18"/>
                <w:szCs w:val="18"/>
              </w:rPr>
            </w:pPr>
            <w:r>
              <w:rPr>
                <w:rFonts w:ascii="宋体" w:hAnsi="宋体"/>
                <w:kern w:val="0"/>
                <w:sz w:val="18"/>
                <w:szCs w:val="18"/>
              </w:rPr>
              <w:t>a)串口数量不少于1个，并可实现GB/T6107或GB/T26803.2的相关功能；b)服务器主机前面板可根据用户实际使用需求预留1个专用USB母座接口孔位</w:t>
            </w:r>
          </w:p>
        </w:tc>
      </w:tr>
      <w:tr w14:paraId="63EA9B55">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1857C515">
            <w:pPr>
              <w:widowControl/>
              <w:jc w:val="center"/>
              <w:rPr>
                <w:rFonts w:ascii="宋体" w:hAnsi="宋体"/>
                <w:kern w:val="0"/>
                <w:sz w:val="18"/>
                <w:szCs w:val="18"/>
              </w:rPr>
            </w:pPr>
            <w:r>
              <w:rPr>
                <w:rFonts w:ascii="宋体" w:hAnsi="宋体"/>
                <w:kern w:val="0"/>
                <w:sz w:val="18"/>
                <w:szCs w:val="18"/>
              </w:rPr>
              <w:t>31</w:t>
            </w:r>
          </w:p>
        </w:tc>
        <w:tc>
          <w:tcPr>
            <w:tcW w:w="1220" w:type="dxa"/>
            <w:tcBorders>
              <w:top w:val="nil"/>
              <w:left w:val="nil"/>
              <w:bottom w:val="single" w:color="auto" w:sz="4" w:space="0"/>
              <w:right w:val="single" w:color="auto" w:sz="4" w:space="0"/>
            </w:tcBorders>
            <w:vAlign w:val="center"/>
          </w:tcPr>
          <w:p w14:paraId="7A306C46">
            <w:pPr>
              <w:widowControl/>
              <w:jc w:val="left"/>
              <w:rPr>
                <w:rFonts w:ascii="宋体" w:hAnsi="宋体"/>
                <w:kern w:val="0"/>
                <w:sz w:val="18"/>
                <w:szCs w:val="18"/>
              </w:rPr>
            </w:pPr>
            <w:r>
              <w:rPr>
                <w:rFonts w:ascii="宋体" w:hAnsi="宋体"/>
                <w:kern w:val="0"/>
                <w:sz w:val="18"/>
                <w:szCs w:val="18"/>
              </w:rPr>
              <w:t>产品规格</w:t>
            </w:r>
          </w:p>
        </w:tc>
        <w:tc>
          <w:tcPr>
            <w:tcW w:w="820" w:type="dxa"/>
            <w:vMerge w:val="restart"/>
            <w:tcBorders>
              <w:top w:val="nil"/>
              <w:left w:val="single" w:color="auto" w:sz="4" w:space="0"/>
              <w:bottom w:val="single" w:color="auto" w:sz="4" w:space="0"/>
              <w:right w:val="single" w:color="auto" w:sz="4" w:space="0"/>
            </w:tcBorders>
            <w:vAlign w:val="center"/>
          </w:tcPr>
          <w:p w14:paraId="2EB6BBBB">
            <w:pPr>
              <w:widowControl/>
              <w:jc w:val="center"/>
              <w:rPr>
                <w:rFonts w:ascii="宋体" w:hAnsi="宋体"/>
                <w:kern w:val="0"/>
                <w:sz w:val="18"/>
                <w:szCs w:val="18"/>
              </w:rPr>
            </w:pPr>
            <w:r>
              <w:rPr>
                <w:rFonts w:ascii="宋体" w:hAnsi="宋体"/>
                <w:kern w:val="0"/>
                <w:sz w:val="18"/>
                <w:szCs w:val="18"/>
              </w:rPr>
              <w:t>电源规格</w:t>
            </w:r>
          </w:p>
        </w:tc>
        <w:tc>
          <w:tcPr>
            <w:tcW w:w="1320" w:type="dxa"/>
            <w:tcBorders>
              <w:top w:val="nil"/>
              <w:left w:val="nil"/>
              <w:bottom w:val="single" w:color="auto" w:sz="4" w:space="0"/>
              <w:right w:val="single" w:color="auto" w:sz="4" w:space="0"/>
            </w:tcBorders>
            <w:vAlign w:val="center"/>
          </w:tcPr>
          <w:p w14:paraId="334CC9FA">
            <w:pPr>
              <w:widowControl/>
              <w:jc w:val="left"/>
              <w:rPr>
                <w:rFonts w:ascii="宋体" w:hAnsi="宋体"/>
                <w:kern w:val="0"/>
                <w:sz w:val="18"/>
                <w:szCs w:val="18"/>
              </w:rPr>
            </w:pPr>
            <w:r>
              <w:rPr>
                <w:rFonts w:ascii="宋体" w:hAnsi="宋体"/>
                <w:kern w:val="0"/>
                <w:sz w:val="18"/>
                <w:szCs w:val="18"/>
              </w:rPr>
              <w:t>电源冗余模式</w:t>
            </w:r>
          </w:p>
        </w:tc>
        <w:tc>
          <w:tcPr>
            <w:tcW w:w="8860" w:type="dxa"/>
            <w:tcBorders>
              <w:top w:val="nil"/>
              <w:left w:val="nil"/>
              <w:bottom w:val="single" w:color="auto" w:sz="4" w:space="0"/>
              <w:right w:val="single" w:color="auto" w:sz="4" w:space="0"/>
            </w:tcBorders>
            <w:vAlign w:val="center"/>
          </w:tcPr>
          <w:p w14:paraId="23ED5BE1">
            <w:pPr>
              <w:widowControl/>
              <w:jc w:val="left"/>
              <w:rPr>
                <w:rFonts w:ascii="宋体" w:hAnsi="宋体"/>
                <w:kern w:val="0"/>
                <w:sz w:val="18"/>
                <w:szCs w:val="18"/>
              </w:rPr>
            </w:pPr>
            <w:r>
              <w:rPr>
                <w:rFonts w:ascii="宋体" w:hAnsi="宋体"/>
                <w:kern w:val="0"/>
                <w:sz w:val="18"/>
                <w:szCs w:val="18"/>
              </w:rPr>
              <w:t>整机电源模块按1+1冗余配置</w:t>
            </w:r>
          </w:p>
        </w:tc>
      </w:tr>
      <w:tr w14:paraId="456F4BC2">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3A55E87E">
            <w:pPr>
              <w:widowControl/>
              <w:jc w:val="center"/>
              <w:rPr>
                <w:rFonts w:ascii="宋体" w:hAnsi="宋体"/>
                <w:kern w:val="0"/>
                <w:sz w:val="18"/>
                <w:szCs w:val="18"/>
              </w:rPr>
            </w:pPr>
            <w:r>
              <w:rPr>
                <w:rFonts w:ascii="宋体" w:hAnsi="宋体"/>
                <w:kern w:val="0"/>
                <w:sz w:val="18"/>
                <w:szCs w:val="18"/>
              </w:rPr>
              <w:t>32</w:t>
            </w:r>
          </w:p>
        </w:tc>
        <w:tc>
          <w:tcPr>
            <w:tcW w:w="1220" w:type="dxa"/>
            <w:tcBorders>
              <w:top w:val="nil"/>
              <w:left w:val="nil"/>
              <w:bottom w:val="single" w:color="auto" w:sz="4" w:space="0"/>
              <w:right w:val="single" w:color="auto" w:sz="4" w:space="0"/>
            </w:tcBorders>
            <w:vAlign w:val="center"/>
          </w:tcPr>
          <w:p w14:paraId="0CC4F0BC">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7A54104B">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06020FB3">
            <w:pPr>
              <w:widowControl/>
              <w:jc w:val="left"/>
              <w:rPr>
                <w:rFonts w:ascii="宋体" w:hAnsi="宋体"/>
                <w:kern w:val="0"/>
                <w:sz w:val="18"/>
                <w:szCs w:val="18"/>
              </w:rPr>
            </w:pPr>
            <w:r>
              <w:rPr>
                <w:rFonts w:ascii="宋体" w:hAnsi="宋体"/>
                <w:kern w:val="0"/>
                <w:sz w:val="18"/>
                <w:szCs w:val="18"/>
              </w:rPr>
              <w:t>★电源模块数量</w:t>
            </w:r>
          </w:p>
        </w:tc>
        <w:tc>
          <w:tcPr>
            <w:tcW w:w="8860" w:type="dxa"/>
            <w:tcBorders>
              <w:top w:val="nil"/>
              <w:left w:val="nil"/>
              <w:bottom w:val="single" w:color="auto" w:sz="4" w:space="0"/>
              <w:right w:val="single" w:color="auto" w:sz="4" w:space="0"/>
            </w:tcBorders>
            <w:vAlign w:val="center"/>
          </w:tcPr>
          <w:p w14:paraId="182102A6">
            <w:pPr>
              <w:widowControl/>
              <w:jc w:val="left"/>
              <w:rPr>
                <w:rFonts w:ascii="宋体" w:hAnsi="宋体"/>
                <w:kern w:val="0"/>
                <w:sz w:val="18"/>
                <w:szCs w:val="18"/>
              </w:rPr>
            </w:pPr>
            <w:r>
              <w:rPr>
                <w:rFonts w:ascii="宋体" w:hAnsi="宋体"/>
                <w:kern w:val="0"/>
                <w:sz w:val="18"/>
                <w:szCs w:val="18"/>
              </w:rPr>
              <w:t>≥2</w:t>
            </w:r>
          </w:p>
        </w:tc>
      </w:tr>
      <w:tr w14:paraId="309BDC9C">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59BA26D2">
            <w:pPr>
              <w:widowControl/>
              <w:jc w:val="center"/>
              <w:rPr>
                <w:rFonts w:ascii="宋体" w:hAnsi="宋体"/>
                <w:kern w:val="0"/>
                <w:sz w:val="18"/>
                <w:szCs w:val="18"/>
              </w:rPr>
            </w:pPr>
            <w:r>
              <w:rPr>
                <w:rFonts w:ascii="宋体" w:hAnsi="宋体"/>
                <w:kern w:val="0"/>
                <w:sz w:val="18"/>
                <w:szCs w:val="18"/>
              </w:rPr>
              <w:t>33</w:t>
            </w:r>
          </w:p>
        </w:tc>
        <w:tc>
          <w:tcPr>
            <w:tcW w:w="1220" w:type="dxa"/>
            <w:tcBorders>
              <w:top w:val="nil"/>
              <w:left w:val="nil"/>
              <w:bottom w:val="single" w:color="auto" w:sz="4" w:space="0"/>
              <w:right w:val="single" w:color="auto" w:sz="4" w:space="0"/>
            </w:tcBorders>
            <w:vAlign w:val="center"/>
          </w:tcPr>
          <w:p w14:paraId="55701BDB">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48E98B08">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42879004">
            <w:pPr>
              <w:widowControl/>
              <w:jc w:val="left"/>
              <w:rPr>
                <w:rFonts w:ascii="宋体" w:hAnsi="宋体"/>
                <w:kern w:val="0"/>
                <w:sz w:val="18"/>
                <w:szCs w:val="18"/>
              </w:rPr>
            </w:pPr>
            <w:r>
              <w:rPr>
                <w:rFonts w:ascii="宋体" w:hAnsi="宋体"/>
                <w:kern w:val="0"/>
                <w:sz w:val="18"/>
                <w:szCs w:val="18"/>
              </w:rPr>
              <w:t>★电源功率</w:t>
            </w:r>
          </w:p>
        </w:tc>
        <w:tc>
          <w:tcPr>
            <w:tcW w:w="8860" w:type="dxa"/>
            <w:tcBorders>
              <w:top w:val="nil"/>
              <w:left w:val="nil"/>
              <w:bottom w:val="single" w:color="auto" w:sz="4" w:space="0"/>
              <w:right w:val="single" w:color="auto" w:sz="4" w:space="0"/>
            </w:tcBorders>
            <w:vAlign w:val="center"/>
          </w:tcPr>
          <w:p w14:paraId="65ACC8AF">
            <w:pPr>
              <w:widowControl/>
              <w:jc w:val="left"/>
              <w:rPr>
                <w:rFonts w:ascii="宋体" w:hAnsi="宋体"/>
                <w:kern w:val="0"/>
                <w:sz w:val="18"/>
                <w:szCs w:val="18"/>
              </w:rPr>
            </w:pPr>
            <w:r>
              <w:rPr>
                <w:rFonts w:ascii="宋体" w:hAnsi="宋体"/>
                <w:kern w:val="0"/>
                <w:sz w:val="18"/>
                <w:szCs w:val="18"/>
              </w:rPr>
              <w:t>≥900W</w:t>
            </w:r>
          </w:p>
        </w:tc>
      </w:tr>
      <w:tr w14:paraId="4648FA06">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666B09E3">
            <w:pPr>
              <w:widowControl/>
              <w:jc w:val="center"/>
              <w:rPr>
                <w:rFonts w:ascii="宋体" w:hAnsi="宋体"/>
                <w:kern w:val="0"/>
                <w:sz w:val="18"/>
                <w:szCs w:val="18"/>
              </w:rPr>
            </w:pPr>
            <w:r>
              <w:rPr>
                <w:rFonts w:ascii="宋体" w:hAnsi="宋体"/>
                <w:kern w:val="0"/>
                <w:sz w:val="18"/>
                <w:szCs w:val="18"/>
              </w:rPr>
              <w:t>34</w:t>
            </w:r>
          </w:p>
        </w:tc>
        <w:tc>
          <w:tcPr>
            <w:tcW w:w="1220" w:type="dxa"/>
            <w:tcBorders>
              <w:top w:val="nil"/>
              <w:left w:val="nil"/>
              <w:bottom w:val="single" w:color="auto" w:sz="4" w:space="0"/>
              <w:right w:val="single" w:color="auto" w:sz="4" w:space="0"/>
            </w:tcBorders>
            <w:vAlign w:val="center"/>
          </w:tcPr>
          <w:p w14:paraId="336732AA">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190F7E80">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0274A6B5">
            <w:pPr>
              <w:widowControl/>
              <w:jc w:val="left"/>
              <w:rPr>
                <w:rFonts w:ascii="宋体" w:hAnsi="宋体"/>
                <w:kern w:val="0"/>
                <w:sz w:val="18"/>
                <w:szCs w:val="18"/>
              </w:rPr>
            </w:pPr>
            <w:r>
              <w:rPr>
                <w:rFonts w:ascii="宋体" w:hAnsi="宋体"/>
                <w:kern w:val="0"/>
                <w:sz w:val="18"/>
                <w:szCs w:val="18"/>
              </w:rPr>
              <w:t>电源指示灯</w:t>
            </w:r>
          </w:p>
        </w:tc>
        <w:tc>
          <w:tcPr>
            <w:tcW w:w="8860" w:type="dxa"/>
            <w:tcBorders>
              <w:top w:val="nil"/>
              <w:left w:val="nil"/>
              <w:bottom w:val="single" w:color="auto" w:sz="4" w:space="0"/>
              <w:right w:val="single" w:color="auto" w:sz="4" w:space="0"/>
            </w:tcBorders>
            <w:vAlign w:val="center"/>
          </w:tcPr>
          <w:p w14:paraId="502C15B1">
            <w:pPr>
              <w:widowControl/>
              <w:jc w:val="left"/>
              <w:rPr>
                <w:rFonts w:ascii="宋体" w:hAnsi="宋体"/>
                <w:kern w:val="0"/>
                <w:sz w:val="18"/>
                <w:szCs w:val="18"/>
              </w:rPr>
            </w:pPr>
            <w:r>
              <w:rPr>
                <w:rFonts w:ascii="宋体" w:hAnsi="宋体"/>
                <w:kern w:val="0"/>
                <w:sz w:val="18"/>
                <w:szCs w:val="18"/>
              </w:rPr>
              <w:t>配备电源指示灯，指示待机、工作异常等状态</w:t>
            </w:r>
          </w:p>
        </w:tc>
      </w:tr>
      <w:tr w14:paraId="4AD0A2A4">
        <w:tblPrEx>
          <w:tblCellMar>
            <w:top w:w="0" w:type="dxa"/>
            <w:left w:w="108" w:type="dxa"/>
            <w:bottom w:w="0" w:type="dxa"/>
            <w:right w:w="108" w:type="dxa"/>
          </w:tblCellMar>
        </w:tblPrEx>
        <w:trPr>
          <w:trHeight w:val="1620" w:hRule="atLeast"/>
        </w:trPr>
        <w:tc>
          <w:tcPr>
            <w:tcW w:w="480" w:type="dxa"/>
            <w:tcBorders>
              <w:top w:val="nil"/>
              <w:left w:val="single" w:color="auto" w:sz="4" w:space="0"/>
              <w:bottom w:val="single" w:color="auto" w:sz="4" w:space="0"/>
              <w:right w:val="single" w:color="auto" w:sz="4" w:space="0"/>
            </w:tcBorders>
            <w:vAlign w:val="center"/>
          </w:tcPr>
          <w:p w14:paraId="78AC9709">
            <w:pPr>
              <w:widowControl/>
              <w:jc w:val="center"/>
              <w:rPr>
                <w:rFonts w:ascii="宋体" w:hAnsi="宋体"/>
                <w:kern w:val="0"/>
                <w:sz w:val="18"/>
                <w:szCs w:val="18"/>
              </w:rPr>
            </w:pPr>
            <w:r>
              <w:rPr>
                <w:rFonts w:ascii="宋体" w:hAnsi="宋体"/>
                <w:kern w:val="0"/>
                <w:sz w:val="18"/>
                <w:szCs w:val="18"/>
              </w:rPr>
              <w:t>35</w:t>
            </w:r>
          </w:p>
        </w:tc>
        <w:tc>
          <w:tcPr>
            <w:tcW w:w="1220" w:type="dxa"/>
            <w:tcBorders>
              <w:top w:val="nil"/>
              <w:left w:val="nil"/>
              <w:bottom w:val="single" w:color="auto" w:sz="4" w:space="0"/>
              <w:right w:val="single" w:color="auto" w:sz="4" w:space="0"/>
            </w:tcBorders>
            <w:vAlign w:val="center"/>
          </w:tcPr>
          <w:p w14:paraId="102B32D4">
            <w:pPr>
              <w:widowControl/>
              <w:jc w:val="left"/>
              <w:rPr>
                <w:rFonts w:ascii="宋体" w:hAnsi="宋体"/>
                <w:kern w:val="0"/>
                <w:sz w:val="18"/>
                <w:szCs w:val="18"/>
              </w:rPr>
            </w:pPr>
            <w:r>
              <w:rPr>
                <w:rFonts w:ascii="宋体" w:hAnsi="宋体"/>
                <w:kern w:val="0"/>
                <w:sz w:val="18"/>
                <w:szCs w:val="18"/>
              </w:rPr>
              <w:t>产品规格</w:t>
            </w:r>
          </w:p>
        </w:tc>
        <w:tc>
          <w:tcPr>
            <w:tcW w:w="820" w:type="dxa"/>
            <w:vMerge w:val="restart"/>
            <w:tcBorders>
              <w:top w:val="nil"/>
              <w:left w:val="single" w:color="auto" w:sz="4" w:space="0"/>
              <w:bottom w:val="single" w:color="auto" w:sz="4" w:space="0"/>
              <w:right w:val="single" w:color="auto" w:sz="4" w:space="0"/>
            </w:tcBorders>
            <w:vAlign w:val="center"/>
          </w:tcPr>
          <w:p w14:paraId="64499A8C">
            <w:pPr>
              <w:widowControl/>
              <w:jc w:val="center"/>
              <w:rPr>
                <w:rFonts w:ascii="宋体" w:hAnsi="宋体"/>
                <w:kern w:val="0"/>
                <w:sz w:val="18"/>
                <w:szCs w:val="18"/>
              </w:rPr>
            </w:pPr>
            <w:r>
              <w:rPr>
                <w:rFonts w:ascii="宋体" w:hAnsi="宋体"/>
                <w:kern w:val="0"/>
                <w:sz w:val="18"/>
                <w:szCs w:val="18"/>
              </w:rPr>
              <w:t>整机规格</w:t>
            </w:r>
          </w:p>
        </w:tc>
        <w:tc>
          <w:tcPr>
            <w:tcW w:w="1320" w:type="dxa"/>
            <w:tcBorders>
              <w:top w:val="nil"/>
              <w:left w:val="nil"/>
              <w:bottom w:val="single" w:color="auto" w:sz="4" w:space="0"/>
              <w:right w:val="single" w:color="auto" w:sz="4" w:space="0"/>
            </w:tcBorders>
            <w:vAlign w:val="center"/>
          </w:tcPr>
          <w:p w14:paraId="76BADB27">
            <w:pPr>
              <w:widowControl/>
              <w:jc w:val="left"/>
              <w:rPr>
                <w:rFonts w:ascii="宋体" w:hAnsi="宋体"/>
                <w:kern w:val="0"/>
                <w:sz w:val="18"/>
                <w:szCs w:val="18"/>
              </w:rPr>
            </w:pPr>
            <w:r>
              <w:rPr>
                <w:rFonts w:ascii="宋体" w:hAnsi="宋体"/>
                <w:kern w:val="0"/>
                <w:sz w:val="18"/>
                <w:szCs w:val="18"/>
              </w:rPr>
              <w:t>★外观和结构</w:t>
            </w:r>
          </w:p>
        </w:tc>
        <w:tc>
          <w:tcPr>
            <w:tcW w:w="8860" w:type="dxa"/>
            <w:tcBorders>
              <w:top w:val="nil"/>
              <w:left w:val="nil"/>
              <w:bottom w:val="single" w:color="auto" w:sz="4" w:space="0"/>
              <w:right w:val="single" w:color="auto" w:sz="4" w:space="0"/>
            </w:tcBorders>
            <w:vAlign w:val="center"/>
          </w:tcPr>
          <w:p w14:paraId="79764F64">
            <w:pPr>
              <w:widowControl/>
              <w:jc w:val="left"/>
              <w:rPr>
                <w:rFonts w:ascii="宋体" w:hAnsi="宋体"/>
                <w:kern w:val="0"/>
                <w:sz w:val="18"/>
                <w:szCs w:val="18"/>
              </w:rPr>
            </w:pPr>
            <w:r>
              <w:rPr>
                <w:rFonts w:ascii="宋体" w:hAnsi="宋体"/>
                <w:kern w:val="0"/>
                <w:sz w:val="18"/>
                <w:szCs w:val="18"/>
              </w:rPr>
              <w:t>a)服务器的零部件应紧固无松动，可插拔部件应可靠连接，开关、按钮和其它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随机文件中明确具体含义；e)机架、机箱的尺寸应符合通用机柜的安装要求，插入总线插座的电路板接口外形尺寸应符合有关总线标准的规定，将机箱固定在机柜上，机箱底面最大下垂变形不得干涉相邻机体；f)高密度服务器应给出CPU个数与机柜高度；g)服务器尺寸具体要求在随机文件中明确</w:t>
            </w:r>
          </w:p>
        </w:tc>
      </w:tr>
      <w:tr w14:paraId="30EFD4DE">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40FC5C66">
            <w:pPr>
              <w:widowControl/>
              <w:jc w:val="center"/>
              <w:rPr>
                <w:rFonts w:ascii="宋体" w:hAnsi="宋体"/>
                <w:kern w:val="0"/>
                <w:sz w:val="18"/>
                <w:szCs w:val="18"/>
              </w:rPr>
            </w:pPr>
            <w:r>
              <w:rPr>
                <w:rFonts w:ascii="宋体" w:hAnsi="宋体"/>
                <w:kern w:val="0"/>
                <w:sz w:val="18"/>
                <w:szCs w:val="18"/>
              </w:rPr>
              <w:t>36</w:t>
            </w:r>
          </w:p>
        </w:tc>
        <w:tc>
          <w:tcPr>
            <w:tcW w:w="1220" w:type="dxa"/>
            <w:tcBorders>
              <w:top w:val="nil"/>
              <w:left w:val="nil"/>
              <w:bottom w:val="single" w:color="auto" w:sz="4" w:space="0"/>
              <w:right w:val="single" w:color="auto" w:sz="4" w:space="0"/>
            </w:tcBorders>
            <w:vAlign w:val="center"/>
          </w:tcPr>
          <w:p w14:paraId="2C718155">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197B7046">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2F8EF177">
            <w:pPr>
              <w:widowControl/>
              <w:jc w:val="left"/>
              <w:rPr>
                <w:rFonts w:ascii="宋体" w:hAnsi="宋体"/>
                <w:kern w:val="0"/>
                <w:sz w:val="18"/>
                <w:szCs w:val="18"/>
              </w:rPr>
            </w:pPr>
            <w:r>
              <w:rPr>
                <w:rFonts w:ascii="宋体" w:hAnsi="宋体"/>
                <w:kern w:val="0"/>
                <w:sz w:val="18"/>
                <w:szCs w:val="18"/>
              </w:rPr>
              <w:t>★尺寸（高×宽×深）</w:t>
            </w:r>
          </w:p>
        </w:tc>
        <w:tc>
          <w:tcPr>
            <w:tcW w:w="8860" w:type="dxa"/>
            <w:tcBorders>
              <w:top w:val="nil"/>
              <w:left w:val="nil"/>
              <w:bottom w:val="single" w:color="auto" w:sz="4" w:space="0"/>
              <w:right w:val="single" w:color="auto" w:sz="4" w:space="0"/>
            </w:tcBorders>
            <w:vAlign w:val="center"/>
          </w:tcPr>
          <w:p w14:paraId="19D23960">
            <w:pPr>
              <w:widowControl/>
              <w:jc w:val="left"/>
              <w:rPr>
                <w:rFonts w:ascii="宋体" w:hAnsi="宋体"/>
                <w:kern w:val="0"/>
                <w:sz w:val="18"/>
                <w:szCs w:val="18"/>
              </w:rPr>
            </w:pPr>
            <w:r>
              <w:rPr>
                <w:rFonts w:ascii="宋体" w:hAnsi="宋体"/>
                <w:kern w:val="0"/>
                <w:sz w:val="18"/>
                <w:szCs w:val="18"/>
              </w:rPr>
              <w:t>86.1mmx447mmx790mm</w:t>
            </w:r>
          </w:p>
        </w:tc>
      </w:tr>
      <w:tr w14:paraId="23CAC18B">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7BC61CF0">
            <w:pPr>
              <w:widowControl/>
              <w:jc w:val="center"/>
              <w:rPr>
                <w:rFonts w:ascii="宋体" w:hAnsi="宋体"/>
                <w:kern w:val="0"/>
                <w:sz w:val="18"/>
                <w:szCs w:val="18"/>
              </w:rPr>
            </w:pPr>
            <w:r>
              <w:rPr>
                <w:rFonts w:ascii="宋体" w:hAnsi="宋体"/>
                <w:kern w:val="0"/>
                <w:sz w:val="18"/>
                <w:szCs w:val="18"/>
              </w:rPr>
              <w:t>37</w:t>
            </w:r>
          </w:p>
        </w:tc>
        <w:tc>
          <w:tcPr>
            <w:tcW w:w="1220" w:type="dxa"/>
            <w:tcBorders>
              <w:top w:val="nil"/>
              <w:left w:val="nil"/>
              <w:bottom w:val="single" w:color="auto" w:sz="4" w:space="0"/>
              <w:right w:val="single" w:color="auto" w:sz="4" w:space="0"/>
            </w:tcBorders>
            <w:vAlign w:val="center"/>
          </w:tcPr>
          <w:p w14:paraId="7A5130A6">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17C44E1D">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60F5611C">
            <w:pPr>
              <w:widowControl/>
              <w:jc w:val="left"/>
              <w:rPr>
                <w:rFonts w:ascii="宋体" w:hAnsi="宋体"/>
                <w:kern w:val="0"/>
                <w:sz w:val="18"/>
                <w:szCs w:val="18"/>
              </w:rPr>
            </w:pPr>
            <w:r>
              <w:rPr>
                <w:rFonts w:ascii="宋体" w:hAnsi="宋体"/>
                <w:kern w:val="0"/>
                <w:sz w:val="18"/>
                <w:szCs w:val="18"/>
              </w:rPr>
              <w:t>服务器导轨</w:t>
            </w:r>
          </w:p>
        </w:tc>
        <w:tc>
          <w:tcPr>
            <w:tcW w:w="8860" w:type="dxa"/>
            <w:tcBorders>
              <w:top w:val="nil"/>
              <w:left w:val="nil"/>
              <w:bottom w:val="single" w:color="auto" w:sz="4" w:space="0"/>
              <w:right w:val="single" w:color="auto" w:sz="4" w:space="0"/>
            </w:tcBorders>
            <w:vAlign w:val="center"/>
          </w:tcPr>
          <w:p w14:paraId="409B6050">
            <w:pPr>
              <w:widowControl/>
              <w:jc w:val="left"/>
              <w:rPr>
                <w:rFonts w:ascii="宋体" w:hAnsi="宋体"/>
                <w:kern w:val="0"/>
                <w:sz w:val="18"/>
                <w:szCs w:val="18"/>
              </w:rPr>
            </w:pPr>
            <w:r>
              <w:rPr>
                <w:rFonts w:ascii="宋体" w:hAnsi="宋体"/>
                <w:kern w:val="0"/>
                <w:sz w:val="18"/>
                <w:szCs w:val="18"/>
              </w:rPr>
              <w:t>供应商给出导轨尺寸、安装方式等信息</w:t>
            </w:r>
          </w:p>
        </w:tc>
      </w:tr>
      <w:tr w14:paraId="3EC02ABD">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346FBB3A">
            <w:pPr>
              <w:widowControl/>
              <w:jc w:val="center"/>
              <w:rPr>
                <w:rFonts w:ascii="宋体" w:hAnsi="宋体"/>
                <w:kern w:val="0"/>
                <w:sz w:val="18"/>
                <w:szCs w:val="18"/>
              </w:rPr>
            </w:pPr>
            <w:r>
              <w:rPr>
                <w:rFonts w:ascii="宋体" w:hAnsi="宋体"/>
                <w:kern w:val="0"/>
                <w:sz w:val="18"/>
                <w:szCs w:val="18"/>
              </w:rPr>
              <w:t>38</w:t>
            </w:r>
          </w:p>
        </w:tc>
        <w:tc>
          <w:tcPr>
            <w:tcW w:w="1220" w:type="dxa"/>
            <w:tcBorders>
              <w:top w:val="nil"/>
              <w:left w:val="nil"/>
              <w:bottom w:val="single" w:color="auto" w:sz="4" w:space="0"/>
              <w:right w:val="single" w:color="auto" w:sz="4" w:space="0"/>
            </w:tcBorders>
            <w:vAlign w:val="center"/>
          </w:tcPr>
          <w:p w14:paraId="3D6E6FB8">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50C0C2E7">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0E0208B0">
            <w:pPr>
              <w:widowControl/>
              <w:jc w:val="left"/>
              <w:rPr>
                <w:rFonts w:ascii="宋体" w:hAnsi="宋体"/>
                <w:kern w:val="0"/>
                <w:sz w:val="18"/>
                <w:szCs w:val="18"/>
              </w:rPr>
            </w:pPr>
            <w:r>
              <w:rPr>
                <w:rFonts w:ascii="宋体" w:hAnsi="宋体"/>
                <w:kern w:val="0"/>
                <w:sz w:val="18"/>
                <w:szCs w:val="18"/>
              </w:rPr>
              <w:t>CPU个数与机柜高度单位(U)比</w:t>
            </w:r>
          </w:p>
        </w:tc>
        <w:tc>
          <w:tcPr>
            <w:tcW w:w="8860" w:type="dxa"/>
            <w:tcBorders>
              <w:top w:val="nil"/>
              <w:left w:val="nil"/>
              <w:bottom w:val="single" w:color="auto" w:sz="4" w:space="0"/>
              <w:right w:val="single" w:color="auto" w:sz="4" w:space="0"/>
            </w:tcBorders>
            <w:vAlign w:val="center"/>
          </w:tcPr>
          <w:p w14:paraId="7F140992">
            <w:pPr>
              <w:widowControl/>
              <w:jc w:val="left"/>
              <w:rPr>
                <w:rFonts w:ascii="宋体" w:hAnsi="宋体"/>
                <w:kern w:val="0"/>
                <w:sz w:val="18"/>
                <w:szCs w:val="18"/>
              </w:rPr>
            </w:pPr>
            <w:r>
              <w:rPr>
                <w:rFonts w:ascii="宋体" w:hAnsi="宋体"/>
                <w:kern w:val="0"/>
                <w:sz w:val="18"/>
                <w:szCs w:val="18"/>
              </w:rPr>
              <w:t>供应商给出CPU个数与机柜高度</w:t>
            </w:r>
          </w:p>
        </w:tc>
      </w:tr>
      <w:tr w14:paraId="59BB10F4">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6D346282">
            <w:pPr>
              <w:widowControl/>
              <w:jc w:val="center"/>
              <w:rPr>
                <w:rFonts w:ascii="宋体" w:hAnsi="宋体"/>
                <w:kern w:val="0"/>
                <w:sz w:val="18"/>
                <w:szCs w:val="18"/>
              </w:rPr>
            </w:pPr>
            <w:r>
              <w:rPr>
                <w:rFonts w:ascii="宋体" w:hAnsi="宋体"/>
                <w:kern w:val="0"/>
                <w:sz w:val="18"/>
                <w:szCs w:val="18"/>
              </w:rPr>
              <w:t>39</w:t>
            </w:r>
          </w:p>
        </w:tc>
        <w:tc>
          <w:tcPr>
            <w:tcW w:w="1220" w:type="dxa"/>
            <w:tcBorders>
              <w:top w:val="nil"/>
              <w:left w:val="nil"/>
              <w:bottom w:val="single" w:color="auto" w:sz="4" w:space="0"/>
              <w:right w:val="single" w:color="auto" w:sz="4" w:space="0"/>
            </w:tcBorders>
            <w:vAlign w:val="center"/>
          </w:tcPr>
          <w:p w14:paraId="0DB40ADE">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4F11A104">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725B0365">
            <w:pPr>
              <w:widowControl/>
              <w:jc w:val="left"/>
              <w:rPr>
                <w:rFonts w:ascii="宋体" w:hAnsi="宋体"/>
                <w:kern w:val="0"/>
                <w:sz w:val="18"/>
                <w:szCs w:val="18"/>
              </w:rPr>
            </w:pPr>
            <w:r>
              <w:rPr>
                <w:rFonts w:ascii="宋体" w:hAnsi="宋体"/>
                <w:kern w:val="0"/>
                <w:sz w:val="18"/>
                <w:szCs w:val="18"/>
              </w:rPr>
              <w:t>★环境适应性</w:t>
            </w:r>
          </w:p>
        </w:tc>
        <w:tc>
          <w:tcPr>
            <w:tcW w:w="8860" w:type="dxa"/>
            <w:tcBorders>
              <w:top w:val="nil"/>
              <w:left w:val="nil"/>
              <w:bottom w:val="single" w:color="auto" w:sz="4" w:space="0"/>
              <w:right w:val="single" w:color="auto" w:sz="4" w:space="0"/>
            </w:tcBorders>
            <w:vAlign w:val="center"/>
          </w:tcPr>
          <w:p w14:paraId="289E3DF1">
            <w:pPr>
              <w:widowControl/>
              <w:jc w:val="left"/>
              <w:rPr>
                <w:rFonts w:ascii="宋体" w:hAnsi="宋体"/>
                <w:kern w:val="0"/>
                <w:sz w:val="18"/>
                <w:szCs w:val="18"/>
              </w:rPr>
            </w:pPr>
            <w:r>
              <w:rPr>
                <w:rFonts w:ascii="宋体" w:hAnsi="宋体"/>
                <w:kern w:val="0"/>
                <w:sz w:val="18"/>
                <w:szCs w:val="18"/>
              </w:rPr>
              <w:t>气候环境适应性应符合GB/T9813.3的有关规定，工作温度10～35℃，贮存运输温度-40～55℃；工作相对湿度35%～80%，贮存运输相对湿度20％～93%（40℃）；大气压86～106kPa</w:t>
            </w:r>
          </w:p>
        </w:tc>
      </w:tr>
      <w:tr w14:paraId="75F83965">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788648A3">
            <w:pPr>
              <w:widowControl/>
              <w:jc w:val="center"/>
              <w:rPr>
                <w:rFonts w:ascii="宋体" w:hAnsi="宋体"/>
                <w:kern w:val="0"/>
                <w:sz w:val="18"/>
                <w:szCs w:val="18"/>
              </w:rPr>
            </w:pPr>
            <w:r>
              <w:rPr>
                <w:rFonts w:ascii="宋体" w:hAnsi="宋体"/>
                <w:kern w:val="0"/>
                <w:sz w:val="18"/>
                <w:szCs w:val="18"/>
              </w:rPr>
              <w:t>40</w:t>
            </w:r>
          </w:p>
        </w:tc>
        <w:tc>
          <w:tcPr>
            <w:tcW w:w="1220" w:type="dxa"/>
            <w:tcBorders>
              <w:top w:val="nil"/>
              <w:left w:val="nil"/>
              <w:bottom w:val="single" w:color="auto" w:sz="4" w:space="0"/>
              <w:right w:val="single" w:color="auto" w:sz="4" w:space="0"/>
            </w:tcBorders>
            <w:vAlign w:val="center"/>
          </w:tcPr>
          <w:p w14:paraId="529D99E9">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032673DD">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75378E31">
            <w:pPr>
              <w:widowControl/>
              <w:jc w:val="left"/>
              <w:rPr>
                <w:rFonts w:ascii="宋体" w:hAnsi="宋体"/>
                <w:kern w:val="0"/>
                <w:sz w:val="18"/>
                <w:szCs w:val="18"/>
              </w:rPr>
            </w:pPr>
            <w:r>
              <w:rPr>
                <w:rFonts w:ascii="宋体" w:hAnsi="宋体"/>
                <w:kern w:val="0"/>
                <w:sz w:val="18"/>
                <w:szCs w:val="18"/>
              </w:rPr>
              <w:t>特殊机型环境适应性</w:t>
            </w:r>
          </w:p>
        </w:tc>
        <w:tc>
          <w:tcPr>
            <w:tcW w:w="8860" w:type="dxa"/>
            <w:tcBorders>
              <w:top w:val="nil"/>
              <w:left w:val="nil"/>
              <w:bottom w:val="single" w:color="auto" w:sz="4" w:space="0"/>
              <w:right w:val="single" w:color="auto" w:sz="4" w:space="0"/>
            </w:tcBorders>
            <w:vAlign w:val="center"/>
          </w:tcPr>
          <w:p w14:paraId="6F56F4BF">
            <w:pPr>
              <w:widowControl/>
              <w:jc w:val="left"/>
              <w:rPr>
                <w:rFonts w:ascii="宋体" w:hAnsi="宋体"/>
                <w:kern w:val="0"/>
                <w:sz w:val="18"/>
                <w:szCs w:val="18"/>
              </w:rPr>
            </w:pPr>
            <w:r>
              <w:rPr>
                <w:rFonts w:ascii="宋体" w:hAnsi="宋体"/>
                <w:kern w:val="0"/>
                <w:sz w:val="18"/>
                <w:szCs w:val="18"/>
              </w:rPr>
              <w:t>边缘应用服务器，工作环境温度宜为0～45℃，短期工作可承受环境温度宜为-5～55℃，液冷服务器贮存运输温度宜为-30～55℃</w:t>
            </w:r>
          </w:p>
        </w:tc>
      </w:tr>
      <w:tr w14:paraId="45705743">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4EBEDB31">
            <w:pPr>
              <w:widowControl/>
              <w:jc w:val="center"/>
              <w:rPr>
                <w:rFonts w:ascii="宋体" w:hAnsi="宋体"/>
                <w:kern w:val="0"/>
                <w:sz w:val="18"/>
                <w:szCs w:val="18"/>
              </w:rPr>
            </w:pPr>
            <w:r>
              <w:rPr>
                <w:rFonts w:ascii="宋体" w:hAnsi="宋体"/>
                <w:kern w:val="0"/>
                <w:sz w:val="18"/>
                <w:szCs w:val="18"/>
              </w:rPr>
              <w:t>41</w:t>
            </w:r>
          </w:p>
        </w:tc>
        <w:tc>
          <w:tcPr>
            <w:tcW w:w="1220" w:type="dxa"/>
            <w:tcBorders>
              <w:top w:val="nil"/>
              <w:left w:val="nil"/>
              <w:bottom w:val="single" w:color="auto" w:sz="4" w:space="0"/>
              <w:right w:val="single" w:color="auto" w:sz="4" w:space="0"/>
            </w:tcBorders>
            <w:vAlign w:val="center"/>
          </w:tcPr>
          <w:p w14:paraId="0AEBB840">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100833BD">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25B58DE3">
            <w:pPr>
              <w:widowControl/>
              <w:jc w:val="left"/>
              <w:rPr>
                <w:rFonts w:ascii="宋体" w:hAnsi="宋体"/>
                <w:kern w:val="0"/>
                <w:sz w:val="18"/>
                <w:szCs w:val="18"/>
              </w:rPr>
            </w:pPr>
            <w:r>
              <w:rPr>
                <w:rFonts w:ascii="宋体" w:hAnsi="宋体"/>
                <w:kern w:val="0"/>
                <w:sz w:val="18"/>
                <w:szCs w:val="18"/>
              </w:rPr>
              <w:t>★机械环境适应性</w:t>
            </w:r>
          </w:p>
        </w:tc>
        <w:tc>
          <w:tcPr>
            <w:tcW w:w="8860" w:type="dxa"/>
            <w:tcBorders>
              <w:top w:val="nil"/>
              <w:left w:val="nil"/>
              <w:bottom w:val="single" w:color="auto" w:sz="4" w:space="0"/>
              <w:right w:val="single" w:color="auto" w:sz="4" w:space="0"/>
            </w:tcBorders>
            <w:vAlign w:val="center"/>
          </w:tcPr>
          <w:p w14:paraId="41110818">
            <w:pPr>
              <w:widowControl/>
              <w:jc w:val="left"/>
              <w:rPr>
                <w:rFonts w:ascii="宋体" w:hAnsi="宋体"/>
                <w:kern w:val="0"/>
                <w:sz w:val="18"/>
                <w:szCs w:val="18"/>
              </w:rPr>
            </w:pPr>
            <w:r>
              <w:rPr>
                <w:rFonts w:ascii="宋体" w:hAnsi="宋体"/>
                <w:kern w:val="0"/>
                <w:sz w:val="18"/>
                <w:szCs w:val="18"/>
              </w:rPr>
              <w:t>机械环境适应性应符合GB/T 9813.3 的有关规定</w:t>
            </w:r>
          </w:p>
        </w:tc>
      </w:tr>
      <w:tr w14:paraId="548B05D9">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01D07751">
            <w:pPr>
              <w:widowControl/>
              <w:jc w:val="center"/>
              <w:rPr>
                <w:rFonts w:ascii="宋体" w:hAnsi="宋体"/>
                <w:kern w:val="0"/>
                <w:sz w:val="18"/>
                <w:szCs w:val="18"/>
              </w:rPr>
            </w:pPr>
            <w:r>
              <w:rPr>
                <w:rFonts w:ascii="宋体" w:hAnsi="宋体"/>
                <w:kern w:val="0"/>
                <w:sz w:val="18"/>
                <w:szCs w:val="18"/>
              </w:rPr>
              <w:t>42</w:t>
            </w:r>
          </w:p>
        </w:tc>
        <w:tc>
          <w:tcPr>
            <w:tcW w:w="1220" w:type="dxa"/>
            <w:tcBorders>
              <w:top w:val="nil"/>
              <w:left w:val="nil"/>
              <w:bottom w:val="single" w:color="auto" w:sz="4" w:space="0"/>
              <w:right w:val="single" w:color="auto" w:sz="4" w:space="0"/>
            </w:tcBorders>
            <w:vAlign w:val="center"/>
          </w:tcPr>
          <w:p w14:paraId="357E06F7">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3EDDEF79">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6338D936">
            <w:pPr>
              <w:widowControl/>
              <w:jc w:val="left"/>
              <w:rPr>
                <w:rFonts w:ascii="宋体" w:hAnsi="宋体"/>
                <w:kern w:val="0"/>
                <w:sz w:val="18"/>
                <w:szCs w:val="18"/>
              </w:rPr>
            </w:pPr>
            <w:r>
              <w:rPr>
                <w:rFonts w:ascii="宋体" w:hAnsi="宋体"/>
                <w:kern w:val="0"/>
                <w:sz w:val="18"/>
                <w:szCs w:val="18"/>
              </w:rPr>
              <w:t>★噪声</w:t>
            </w:r>
          </w:p>
        </w:tc>
        <w:tc>
          <w:tcPr>
            <w:tcW w:w="8860" w:type="dxa"/>
            <w:tcBorders>
              <w:top w:val="nil"/>
              <w:left w:val="nil"/>
              <w:bottom w:val="single" w:color="auto" w:sz="4" w:space="0"/>
              <w:right w:val="single" w:color="auto" w:sz="4" w:space="0"/>
            </w:tcBorders>
            <w:vAlign w:val="center"/>
          </w:tcPr>
          <w:p w14:paraId="16F1C7CF">
            <w:pPr>
              <w:widowControl/>
              <w:jc w:val="left"/>
              <w:rPr>
                <w:rFonts w:ascii="宋体" w:hAnsi="宋体"/>
                <w:kern w:val="0"/>
                <w:sz w:val="18"/>
                <w:szCs w:val="18"/>
              </w:rPr>
            </w:pPr>
            <w:r>
              <w:rPr>
                <w:rFonts w:ascii="宋体" w:hAnsi="宋体"/>
                <w:kern w:val="0"/>
                <w:sz w:val="18"/>
                <w:szCs w:val="18"/>
              </w:rPr>
              <w:t>符合GB/T9813.3的有关规定，在产品说明中给出具体测试值塔式服务器噪声在空闲状态下≤50dB</w:t>
            </w:r>
          </w:p>
        </w:tc>
      </w:tr>
      <w:tr w14:paraId="0B7CC2EB">
        <w:tblPrEx>
          <w:tblCellMar>
            <w:top w:w="0" w:type="dxa"/>
            <w:left w:w="108" w:type="dxa"/>
            <w:bottom w:w="0" w:type="dxa"/>
            <w:right w:w="108" w:type="dxa"/>
          </w:tblCellMar>
        </w:tblPrEx>
        <w:trPr>
          <w:trHeight w:val="695" w:hRule="atLeast"/>
        </w:trPr>
        <w:tc>
          <w:tcPr>
            <w:tcW w:w="480" w:type="dxa"/>
            <w:tcBorders>
              <w:top w:val="nil"/>
              <w:left w:val="single" w:color="auto" w:sz="4" w:space="0"/>
              <w:bottom w:val="single" w:color="auto" w:sz="4" w:space="0"/>
              <w:right w:val="single" w:color="auto" w:sz="4" w:space="0"/>
            </w:tcBorders>
            <w:vAlign w:val="center"/>
          </w:tcPr>
          <w:p w14:paraId="746C31C4">
            <w:pPr>
              <w:widowControl/>
              <w:jc w:val="center"/>
              <w:rPr>
                <w:rFonts w:ascii="宋体" w:hAnsi="宋体"/>
                <w:kern w:val="0"/>
                <w:sz w:val="18"/>
                <w:szCs w:val="18"/>
              </w:rPr>
            </w:pPr>
            <w:r>
              <w:rPr>
                <w:rFonts w:ascii="宋体" w:hAnsi="宋体"/>
                <w:kern w:val="0"/>
                <w:sz w:val="18"/>
                <w:szCs w:val="18"/>
              </w:rPr>
              <w:t>43</w:t>
            </w:r>
          </w:p>
        </w:tc>
        <w:tc>
          <w:tcPr>
            <w:tcW w:w="1220" w:type="dxa"/>
            <w:tcBorders>
              <w:top w:val="nil"/>
              <w:left w:val="nil"/>
              <w:bottom w:val="single" w:color="auto" w:sz="4" w:space="0"/>
              <w:right w:val="single" w:color="auto" w:sz="4" w:space="0"/>
            </w:tcBorders>
            <w:vAlign w:val="center"/>
          </w:tcPr>
          <w:p w14:paraId="75BE2788">
            <w:pPr>
              <w:widowControl/>
              <w:jc w:val="left"/>
              <w:rPr>
                <w:rFonts w:ascii="宋体" w:hAnsi="宋体"/>
                <w:kern w:val="0"/>
                <w:sz w:val="18"/>
                <w:szCs w:val="18"/>
              </w:rPr>
            </w:pPr>
            <w:r>
              <w:rPr>
                <w:rFonts w:ascii="宋体" w:hAnsi="宋体"/>
                <w:kern w:val="0"/>
                <w:sz w:val="18"/>
                <w:szCs w:val="18"/>
              </w:rPr>
              <w:t>产品规格</w:t>
            </w:r>
          </w:p>
        </w:tc>
        <w:tc>
          <w:tcPr>
            <w:tcW w:w="820" w:type="dxa"/>
            <w:vMerge w:val="restart"/>
            <w:tcBorders>
              <w:top w:val="nil"/>
              <w:left w:val="single" w:color="auto" w:sz="4" w:space="0"/>
              <w:bottom w:val="single" w:color="auto" w:sz="4" w:space="0"/>
              <w:right w:val="single" w:color="auto" w:sz="4" w:space="0"/>
            </w:tcBorders>
            <w:vAlign w:val="center"/>
          </w:tcPr>
          <w:p w14:paraId="1AFF8C03">
            <w:pPr>
              <w:widowControl/>
              <w:jc w:val="center"/>
              <w:rPr>
                <w:rFonts w:ascii="宋体" w:hAnsi="宋体"/>
                <w:kern w:val="0"/>
                <w:sz w:val="18"/>
                <w:szCs w:val="18"/>
              </w:rPr>
            </w:pPr>
            <w:r>
              <w:rPr>
                <w:rFonts w:ascii="宋体" w:hAnsi="宋体"/>
                <w:kern w:val="0"/>
                <w:sz w:val="18"/>
                <w:szCs w:val="18"/>
              </w:rPr>
              <w:t>AI计算单元规格</w:t>
            </w:r>
          </w:p>
        </w:tc>
        <w:tc>
          <w:tcPr>
            <w:tcW w:w="1320" w:type="dxa"/>
            <w:tcBorders>
              <w:top w:val="nil"/>
              <w:left w:val="nil"/>
              <w:bottom w:val="single" w:color="auto" w:sz="4" w:space="0"/>
              <w:right w:val="single" w:color="auto" w:sz="4" w:space="0"/>
            </w:tcBorders>
            <w:vAlign w:val="center"/>
          </w:tcPr>
          <w:p w14:paraId="58AB0F74">
            <w:pPr>
              <w:widowControl/>
              <w:jc w:val="left"/>
              <w:rPr>
                <w:rFonts w:ascii="宋体" w:hAnsi="宋体"/>
                <w:kern w:val="0"/>
                <w:sz w:val="18"/>
                <w:szCs w:val="18"/>
              </w:rPr>
            </w:pPr>
            <w:r>
              <w:rPr>
                <w:rFonts w:ascii="宋体" w:hAnsi="宋体"/>
                <w:kern w:val="0"/>
                <w:sz w:val="18"/>
                <w:szCs w:val="18"/>
              </w:rPr>
              <w:t>AI计算单元</w:t>
            </w:r>
          </w:p>
        </w:tc>
        <w:tc>
          <w:tcPr>
            <w:tcW w:w="8860" w:type="dxa"/>
            <w:tcBorders>
              <w:top w:val="nil"/>
              <w:left w:val="nil"/>
              <w:bottom w:val="single" w:color="auto" w:sz="4" w:space="0"/>
              <w:right w:val="single" w:color="auto" w:sz="4" w:space="0"/>
            </w:tcBorders>
            <w:vAlign w:val="center"/>
          </w:tcPr>
          <w:p w14:paraId="357CB01B">
            <w:pPr>
              <w:widowControl/>
              <w:jc w:val="left"/>
              <w:rPr>
                <w:rFonts w:ascii="宋体" w:hAnsi="宋体"/>
                <w:kern w:val="0"/>
                <w:sz w:val="18"/>
                <w:szCs w:val="18"/>
              </w:rPr>
            </w:pPr>
            <w:r>
              <w:rPr>
                <w:rFonts w:ascii="宋体" w:hAnsi="宋体"/>
                <w:kern w:val="0"/>
                <w:sz w:val="18"/>
                <w:szCs w:val="18"/>
              </w:rPr>
              <w:t>若配备AI计算单元应符合如下要求：a)具备人工智能加速处理器，计算精度至少支持FP16、BF16、FP32、FP64、INT8和INT16等中的1种；b)单推理卡或模块，具备视频解析、文本识别、语音分析等推理能力；在视觉场景下配备可直接调用的接口实现视觉计算加速，路数不小于64（1080P30FPS）</w:t>
            </w:r>
          </w:p>
        </w:tc>
      </w:tr>
      <w:tr w14:paraId="2A21F2A0">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4C4E734F">
            <w:pPr>
              <w:widowControl/>
              <w:jc w:val="center"/>
              <w:rPr>
                <w:rFonts w:ascii="宋体" w:hAnsi="宋体"/>
                <w:kern w:val="0"/>
                <w:sz w:val="18"/>
                <w:szCs w:val="18"/>
              </w:rPr>
            </w:pPr>
            <w:r>
              <w:rPr>
                <w:rFonts w:ascii="宋体" w:hAnsi="宋体"/>
                <w:kern w:val="0"/>
                <w:sz w:val="18"/>
                <w:szCs w:val="18"/>
              </w:rPr>
              <w:t>44</w:t>
            </w:r>
          </w:p>
        </w:tc>
        <w:tc>
          <w:tcPr>
            <w:tcW w:w="1220" w:type="dxa"/>
            <w:tcBorders>
              <w:top w:val="nil"/>
              <w:left w:val="nil"/>
              <w:bottom w:val="single" w:color="auto" w:sz="4" w:space="0"/>
              <w:right w:val="single" w:color="auto" w:sz="4" w:space="0"/>
            </w:tcBorders>
            <w:vAlign w:val="center"/>
          </w:tcPr>
          <w:p w14:paraId="78AA718A">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3DD2C527">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59E2331F">
            <w:pPr>
              <w:widowControl/>
              <w:jc w:val="left"/>
              <w:rPr>
                <w:rFonts w:ascii="宋体" w:hAnsi="宋体"/>
                <w:kern w:val="0"/>
                <w:sz w:val="18"/>
                <w:szCs w:val="18"/>
              </w:rPr>
            </w:pPr>
            <w:r>
              <w:rPr>
                <w:rFonts w:ascii="宋体" w:hAnsi="宋体"/>
                <w:kern w:val="0"/>
                <w:sz w:val="18"/>
                <w:szCs w:val="18"/>
              </w:rPr>
              <w:t>一键式迁移</w:t>
            </w:r>
          </w:p>
        </w:tc>
        <w:tc>
          <w:tcPr>
            <w:tcW w:w="8860" w:type="dxa"/>
            <w:tcBorders>
              <w:top w:val="nil"/>
              <w:left w:val="nil"/>
              <w:bottom w:val="single" w:color="auto" w:sz="4" w:space="0"/>
              <w:right w:val="single" w:color="auto" w:sz="4" w:space="0"/>
            </w:tcBorders>
            <w:vAlign w:val="center"/>
          </w:tcPr>
          <w:p w14:paraId="55D010D1">
            <w:pPr>
              <w:widowControl/>
              <w:jc w:val="left"/>
              <w:rPr>
                <w:rFonts w:ascii="宋体" w:hAnsi="宋体"/>
                <w:kern w:val="0"/>
                <w:sz w:val="18"/>
                <w:szCs w:val="18"/>
              </w:rPr>
            </w:pPr>
            <w:r>
              <w:rPr>
                <w:rFonts w:ascii="宋体" w:hAnsi="宋体"/>
                <w:kern w:val="0"/>
                <w:sz w:val="18"/>
                <w:szCs w:val="18"/>
              </w:rPr>
              <w:t>若服务器配备AI计算单元，提供训练脚本迁移工具</w:t>
            </w:r>
          </w:p>
        </w:tc>
      </w:tr>
      <w:tr w14:paraId="3DF09BBF">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7365AFA6">
            <w:pPr>
              <w:widowControl/>
              <w:jc w:val="center"/>
              <w:rPr>
                <w:rFonts w:ascii="宋体" w:hAnsi="宋体"/>
                <w:kern w:val="0"/>
                <w:sz w:val="18"/>
                <w:szCs w:val="18"/>
              </w:rPr>
            </w:pPr>
            <w:r>
              <w:rPr>
                <w:rFonts w:ascii="宋体" w:hAnsi="宋体"/>
                <w:kern w:val="0"/>
                <w:sz w:val="18"/>
                <w:szCs w:val="18"/>
              </w:rPr>
              <w:t>45</w:t>
            </w:r>
          </w:p>
        </w:tc>
        <w:tc>
          <w:tcPr>
            <w:tcW w:w="1220" w:type="dxa"/>
            <w:tcBorders>
              <w:top w:val="nil"/>
              <w:left w:val="nil"/>
              <w:bottom w:val="single" w:color="auto" w:sz="4" w:space="0"/>
              <w:right w:val="single" w:color="auto" w:sz="4" w:space="0"/>
            </w:tcBorders>
            <w:vAlign w:val="center"/>
          </w:tcPr>
          <w:p w14:paraId="1F10771B">
            <w:pPr>
              <w:widowControl/>
              <w:jc w:val="left"/>
              <w:rPr>
                <w:rFonts w:ascii="宋体" w:hAnsi="宋体"/>
                <w:kern w:val="0"/>
                <w:sz w:val="18"/>
                <w:szCs w:val="18"/>
              </w:rPr>
            </w:pPr>
            <w:r>
              <w:rPr>
                <w:rFonts w:ascii="宋体" w:hAnsi="宋体"/>
                <w:kern w:val="0"/>
                <w:sz w:val="18"/>
                <w:szCs w:val="18"/>
              </w:rPr>
              <w:t>产品规格</w:t>
            </w:r>
          </w:p>
        </w:tc>
        <w:tc>
          <w:tcPr>
            <w:tcW w:w="820" w:type="dxa"/>
            <w:vMerge w:val="restart"/>
            <w:tcBorders>
              <w:top w:val="nil"/>
              <w:left w:val="single" w:color="auto" w:sz="4" w:space="0"/>
              <w:bottom w:val="single" w:color="auto" w:sz="4" w:space="0"/>
              <w:right w:val="single" w:color="auto" w:sz="4" w:space="0"/>
            </w:tcBorders>
            <w:vAlign w:val="center"/>
          </w:tcPr>
          <w:p w14:paraId="55B60DC4">
            <w:pPr>
              <w:widowControl/>
              <w:jc w:val="center"/>
              <w:rPr>
                <w:rFonts w:ascii="宋体" w:hAnsi="宋体"/>
                <w:kern w:val="0"/>
                <w:sz w:val="18"/>
                <w:szCs w:val="18"/>
              </w:rPr>
            </w:pPr>
            <w:r>
              <w:rPr>
                <w:rFonts w:ascii="宋体" w:hAnsi="宋体"/>
                <w:kern w:val="0"/>
                <w:sz w:val="18"/>
                <w:szCs w:val="18"/>
              </w:rPr>
              <w:t>机柜规格</w:t>
            </w:r>
          </w:p>
        </w:tc>
        <w:tc>
          <w:tcPr>
            <w:tcW w:w="1320" w:type="dxa"/>
            <w:tcBorders>
              <w:top w:val="nil"/>
              <w:left w:val="nil"/>
              <w:bottom w:val="single" w:color="auto" w:sz="4" w:space="0"/>
              <w:right w:val="single" w:color="auto" w:sz="4" w:space="0"/>
            </w:tcBorders>
            <w:vAlign w:val="center"/>
          </w:tcPr>
          <w:p w14:paraId="443AF291">
            <w:pPr>
              <w:widowControl/>
              <w:jc w:val="left"/>
              <w:rPr>
                <w:rFonts w:ascii="宋体" w:hAnsi="宋体"/>
                <w:kern w:val="0"/>
                <w:sz w:val="18"/>
                <w:szCs w:val="18"/>
              </w:rPr>
            </w:pPr>
            <w:r>
              <w:rPr>
                <w:rFonts w:ascii="宋体" w:hAnsi="宋体"/>
                <w:kern w:val="0"/>
                <w:sz w:val="18"/>
                <w:szCs w:val="18"/>
              </w:rPr>
              <w:t>★机柜尺寸</w:t>
            </w:r>
          </w:p>
        </w:tc>
        <w:tc>
          <w:tcPr>
            <w:tcW w:w="8860" w:type="dxa"/>
            <w:tcBorders>
              <w:top w:val="nil"/>
              <w:left w:val="nil"/>
              <w:bottom w:val="single" w:color="auto" w:sz="4" w:space="0"/>
              <w:right w:val="single" w:color="auto" w:sz="4" w:space="0"/>
            </w:tcBorders>
            <w:vAlign w:val="center"/>
          </w:tcPr>
          <w:p w14:paraId="247880C4">
            <w:pPr>
              <w:widowControl/>
              <w:jc w:val="left"/>
              <w:rPr>
                <w:rFonts w:ascii="宋体" w:hAnsi="宋体"/>
                <w:kern w:val="0"/>
                <w:sz w:val="18"/>
                <w:szCs w:val="18"/>
              </w:rPr>
            </w:pPr>
            <w:r>
              <w:rPr>
                <w:rFonts w:ascii="宋体" w:hAnsi="宋体"/>
                <w:kern w:val="0"/>
                <w:sz w:val="18"/>
                <w:szCs w:val="18"/>
              </w:rPr>
              <w:t>供应商给出长度、高度和深度</w:t>
            </w:r>
          </w:p>
        </w:tc>
      </w:tr>
      <w:tr w14:paraId="38B38DEE">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5293BF3C">
            <w:pPr>
              <w:widowControl/>
              <w:jc w:val="center"/>
              <w:rPr>
                <w:rFonts w:ascii="宋体" w:hAnsi="宋体"/>
                <w:kern w:val="0"/>
                <w:sz w:val="18"/>
                <w:szCs w:val="18"/>
              </w:rPr>
            </w:pPr>
            <w:r>
              <w:rPr>
                <w:rFonts w:ascii="宋体" w:hAnsi="宋体"/>
                <w:kern w:val="0"/>
                <w:sz w:val="18"/>
                <w:szCs w:val="18"/>
              </w:rPr>
              <w:t>46</w:t>
            </w:r>
          </w:p>
        </w:tc>
        <w:tc>
          <w:tcPr>
            <w:tcW w:w="1220" w:type="dxa"/>
            <w:tcBorders>
              <w:top w:val="nil"/>
              <w:left w:val="nil"/>
              <w:bottom w:val="single" w:color="auto" w:sz="4" w:space="0"/>
              <w:right w:val="single" w:color="auto" w:sz="4" w:space="0"/>
            </w:tcBorders>
            <w:vAlign w:val="center"/>
          </w:tcPr>
          <w:p w14:paraId="091C3A44">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1AF3F189">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1B85DC67">
            <w:pPr>
              <w:widowControl/>
              <w:jc w:val="left"/>
              <w:rPr>
                <w:rFonts w:ascii="宋体" w:hAnsi="宋体"/>
                <w:kern w:val="0"/>
                <w:sz w:val="18"/>
                <w:szCs w:val="18"/>
              </w:rPr>
            </w:pPr>
            <w:r>
              <w:rPr>
                <w:rFonts w:ascii="宋体" w:hAnsi="宋体"/>
                <w:kern w:val="0"/>
                <w:sz w:val="18"/>
                <w:szCs w:val="18"/>
              </w:rPr>
              <w:t>机柜管理板</w:t>
            </w:r>
          </w:p>
        </w:tc>
        <w:tc>
          <w:tcPr>
            <w:tcW w:w="8860" w:type="dxa"/>
            <w:tcBorders>
              <w:top w:val="nil"/>
              <w:left w:val="nil"/>
              <w:bottom w:val="single" w:color="auto" w:sz="4" w:space="0"/>
              <w:right w:val="single" w:color="auto" w:sz="4" w:space="0"/>
            </w:tcBorders>
            <w:vAlign w:val="center"/>
          </w:tcPr>
          <w:p w14:paraId="796527C4">
            <w:pPr>
              <w:widowControl/>
              <w:jc w:val="left"/>
              <w:rPr>
                <w:rFonts w:ascii="宋体" w:hAnsi="宋体"/>
                <w:kern w:val="0"/>
                <w:sz w:val="18"/>
                <w:szCs w:val="18"/>
              </w:rPr>
            </w:pPr>
            <w:r>
              <w:rPr>
                <w:rFonts w:ascii="宋体" w:hAnsi="宋体"/>
                <w:kern w:val="0"/>
                <w:sz w:val="18"/>
                <w:szCs w:val="18"/>
              </w:rPr>
              <w:t>配备机柜管理板</w:t>
            </w:r>
          </w:p>
        </w:tc>
      </w:tr>
      <w:tr w14:paraId="75BA435D">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5B58A386">
            <w:pPr>
              <w:widowControl/>
              <w:jc w:val="center"/>
              <w:rPr>
                <w:rFonts w:ascii="宋体" w:hAnsi="宋体"/>
                <w:kern w:val="0"/>
                <w:sz w:val="18"/>
                <w:szCs w:val="18"/>
              </w:rPr>
            </w:pPr>
            <w:r>
              <w:rPr>
                <w:rFonts w:ascii="宋体" w:hAnsi="宋体"/>
                <w:kern w:val="0"/>
                <w:sz w:val="18"/>
                <w:szCs w:val="18"/>
              </w:rPr>
              <w:t>47</w:t>
            </w:r>
          </w:p>
        </w:tc>
        <w:tc>
          <w:tcPr>
            <w:tcW w:w="1220" w:type="dxa"/>
            <w:tcBorders>
              <w:top w:val="nil"/>
              <w:left w:val="nil"/>
              <w:bottom w:val="single" w:color="auto" w:sz="4" w:space="0"/>
              <w:right w:val="single" w:color="auto" w:sz="4" w:space="0"/>
            </w:tcBorders>
            <w:vAlign w:val="center"/>
          </w:tcPr>
          <w:p w14:paraId="72863121">
            <w:pPr>
              <w:widowControl/>
              <w:jc w:val="left"/>
              <w:rPr>
                <w:rFonts w:ascii="宋体" w:hAnsi="宋体"/>
                <w:kern w:val="0"/>
                <w:sz w:val="18"/>
                <w:szCs w:val="18"/>
              </w:rPr>
            </w:pPr>
            <w:r>
              <w:rPr>
                <w:rFonts w:ascii="宋体" w:hAnsi="宋体"/>
                <w:kern w:val="0"/>
                <w:sz w:val="18"/>
                <w:szCs w:val="18"/>
              </w:rPr>
              <w:t>产品规格</w:t>
            </w:r>
          </w:p>
        </w:tc>
        <w:tc>
          <w:tcPr>
            <w:tcW w:w="820" w:type="dxa"/>
            <w:vMerge w:val="continue"/>
            <w:tcBorders>
              <w:top w:val="nil"/>
              <w:left w:val="single" w:color="auto" w:sz="4" w:space="0"/>
              <w:bottom w:val="single" w:color="auto" w:sz="4" w:space="0"/>
              <w:right w:val="single" w:color="auto" w:sz="4" w:space="0"/>
            </w:tcBorders>
            <w:vAlign w:val="center"/>
          </w:tcPr>
          <w:p w14:paraId="2117BCF2">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26B8506E">
            <w:pPr>
              <w:widowControl/>
              <w:jc w:val="left"/>
              <w:rPr>
                <w:rFonts w:ascii="宋体" w:hAnsi="宋体"/>
                <w:kern w:val="0"/>
                <w:sz w:val="18"/>
                <w:szCs w:val="18"/>
              </w:rPr>
            </w:pPr>
            <w:r>
              <w:rPr>
                <w:rFonts w:ascii="宋体" w:hAnsi="宋体"/>
                <w:kern w:val="0"/>
                <w:sz w:val="18"/>
                <w:szCs w:val="18"/>
              </w:rPr>
              <w:t>机柜电源规格</w:t>
            </w:r>
          </w:p>
        </w:tc>
        <w:tc>
          <w:tcPr>
            <w:tcW w:w="8860" w:type="dxa"/>
            <w:tcBorders>
              <w:top w:val="nil"/>
              <w:left w:val="nil"/>
              <w:bottom w:val="single" w:color="auto" w:sz="4" w:space="0"/>
              <w:right w:val="single" w:color="auto" w:sz="4" w:space="0"/>
            </w:tcBorders>
            <w:vAlign w:val="center"/>
          </w:tcPr>
          <w:p w14:paraId="07F24E80">
            <w:pPr>
              <w:widowControl/>
              <w:jc w:val="left"/>
              <w:rPr>
                <w:rFonts w:ascii="宋体" w:hAnsi="宋体"/>
                <w:kern w:val="0"/>
                <w:sz w:val="18"/>
                <w:szCs w:val="18"/>
              </w:rPr>
            </w:pPr>
            <w:r>
              <w:rPr>
                <w:rFonts w:ascii="宋体" w:hAnsi="宋体"/>
                <w:kern w:val="0"/>
                <w:sz w:val="18"/>
                <w:szCs w:val="18"/>
              </w:rPr>
              <w:t>a)机柜电源支持集中供电，电源输入不少于2路且支持自动切换；b)机柜电源模块支持N+1冗余配置，电源模块可独立更换</w:t>
            </w:r>
          </w:p>
        </w:tc>
      </w:tr>
      <w:tr w14:paraId="66F645BE">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05B72FD7">
            <w:pPr>
              <w:widowControl/>
              <w:jc w:val="center"/>
              <w:rPr>
                <w:rFonts w:ascii="宋体" w:hAnsi="宋体"/>
                <w:kern w:val="0"/>
                <w:sz w:val="18"/>
                <w:szCs w:val="18"/>
              </w:rPr>
            </w:pPr>
            <w:r>
              <w:rPr>
                <w:rFonts w:ascii="宋体" w:hAnsi="宋体"/>
                <w:kern w:val="0"/>
                <w:sz w:val="18"/>
                <w:szCs w:val="18"/>
              </w:rPr>
              <w:t>48</w:t>
            </w:r>
          </w:p>
        </w:tc>
        <w:tc>
          <w:tcPr>
            <w:tcW w:w="1220" w:type="dxa"/>
            <w:tcBorders>
              <w:top w:val="nil"/>
              <w:left w:val="nil"/>
              <w:bottom w:val="single" w:color="auto" w:sz="4" w:space="0"/>
              <w:right w:val="single" w:color="auto" w:sz="4" w:space="0"/>
            </w:tcBorders>
            <w:vAlign w:val="center"/>
          </w:tcPr>
          <w:p w14:paraId="5FB2F1B1">
            <w:pPr>
              <w:widowControl/>
              <w:jc w:val="left"/>
              <w:rPr>
                <w:rFonts w:ascii="宋体" w:hAnsi="宋体"/>
                <w:kern w:val="0"/>
                <w:sz w:val="18"/>
                <w:szCs w:val="18"/>
              </w:rPr>
            </w:pPr>
            <w:r>
              <w:rPr>
                <w:rFonts w:ascii="宋体" w:hAnsi="宋体"/>
                <w:kern w:val="0"/>
                <w:sz w:val="18"/>
                <w:szCs w:val="18"/>
              </w:rPr>
              <w:t>功能要求</w:t>
            </w:r>
          </w:p>
        </w:tc>
        <w:tc>
          <w:tcPr>
            <w:tcW w:w="820" w:type="dxa"/>
            <w:vMerge w:val="restart"/>
            <w:tcBorders>
              <w:top w:val="nil"/>
              <w:left w:val="single" w:color="auto" w:sz="4" w:space="0"/>
              <w:bottom w:val="single" w:color="auto" w:sz="4" w:space="0"/>
              <w:right w:val="single" w:color="auto" w:sz="4" w:space="0"/>
            </w:tcBorders>
            <w:vAlign w:val="center"/>
          </w:tcPr>
          <w:p w14:paraId="6EEF020B">
            <w:pPr>
              <w:widowControl/>
              <w:jc w:val="center"/>
              <w:rPr>
                <w:rFonts w:ascii="宋体" w:hAnsi="宋体"/>
                <w:kern w:val="0"/>
                <w:sz w:val="18"/>
                <w:szCs w:val="18"/>
              </w:rPr>
            </w:pPr>
            <w:r>
              <w:rPr>
                <w:rFonts w:ascii="宋体" w:hAnsi="宋体"/>
                <w:kern w:val="0"/>
                <w:sz w:val="18"/>
                <w:szCs w:val="18"/>
              </w:rPr>
              <w:t>主板功能</w:t>
            </w:r>
          </w:p>
        </w:tc>
        <w:tc>
          <w:tcPr>
            <w:tcW w:w="1320" w:type="dxa"/>
            <w:tcBorders>
              <w:top w:val="nil"/>
              <w:left w:val="nil"/>
              <w:bottom w:val="single" w:color="auto" w:sz="4" w:space="0"/>
              <w:right w:val="single" w:color="auto" w:sz="4" w:space="0"/>
            </w:tcBorders>
            <w:vAlign w:val="center"/>
          </w:tcPr>
          <w:p w14:paraId="622E4BAB">
            <w:pPr>
              <w:widowControl/>
              <w:jc w:val="left"/>
              <w:rPr>
                <w:rFonts w:ascii="宋体" w:hAnsi="宋体"/>
                <w:kern w:val="0"/>
                <w:sz w:val="18"/>
                <w:szCs w:val="18"/>
              </w:rPr>
            </w:pPr>
            <w:r>
              <w:rPr>
                <w:rFonts w:ascii="宋体" w:hAnsi="宋体"/>
                <w:kern w:val="0"/>
                <w:sz w:val="18"/>
                <w:szCs w:val="18"/>
              </w:rPr>
              <w:t>★主板外部接口种类</w:t>
            </w:r>
          </w:p>
        </w:tc>
        <w:tc>
          <w:tcPr>
            <w:tcW w:w="8860" w:type="dxa"/>
            <w:tcBorders>
              <w:top w:val="nil"/>
              <w:left w:val="nil"/>
              <w:bottom w:val="single" w:color="auto" w:sz="4" w:space="0"/>
              <w:right w:val="single" w:color="auto" w:sz="4" w:space="0"/>
            </w:tcBorders>
            <w:vAlign w:val="center"/>
          </w:tcPr>
          <w:p w14:paraId="2519B9B6">
            <w:pPr>
              <w:widowControl/>
              <w:jc w:val="left"/>
              <w:rPr>
                <w:rFonts w:ascii="宋体" w:hAnsi="宋体"/>
                <w:kern w:val="0"/>
                <w:sz w:val="18"/>
                <w:szCs w:val="18"/>
              </w:rPr>
            </w:pPr>
            <w:r>
              <w:rPr>
                <w:rFonts w:ascii="宋体" w:hAnsi="宋体"/>
                <w:kern w:val="0"/>
                <w:sz w:val="18"/>
                <w:szCs w:val="18"/>
              </w:rPr>
              <w:t>支持USB、显示、管理等接口，如：VGA、DP、HDMI、USB3.0、PS/2接口、BMC管理端口</w:t>
            </w:r>
          </w:p>
        </w:tc>
      </w:tr>
      <w:tr w14:paraId="24BD04D2">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10DE86EF">
            <w:pPr>
              <w:widowControl/>
              <w:jc w:val="center"/>
              <w:rPr>
                <w:rFonts w:ascii="宋体" w:hAnsi="宋体"/>
                <w:kern w:val="0"/>
                <w:sz w:val="18"/>
                <w:szCs w:val="18"/>
              </w:rPr>
            </w:pPr>
            <w:r>
              <w:rPr>
                <w:rFonts w:ascii="宋体" w:hAnsi="宋体"/>
                <w:kern w:val="0"/>
                <w:sz w:val="18"/>
                <w:szCs w:val="18"/>
              </w:rPr>
              <w:t>49</w:t>
            </w:r>
          </w:p>
        </w:tc>
        <w:tc>
          <w:tcPr>
            <w:tcW w:w="1220" w:type="dxa"/>
            <w:tcBorders>
              <w:top w:val="nil"/>
              <w:left w:val="nil"/>
              <w:bottom w:val="single" w:color="auto" w:sz="4" w:space="0"/>
              <w:right w:val="single" w:color="auto" w:sz="4" w:space="0"/>
            </w:tcBorders>
            <w:vAlign w:val="center"/>
          </w:tcPr>
          <w:p w14:paraId="43EB2A6F">
            <w:pPr>
              <w:widowControl/>
              <w:jc w:val="left"/>
              <w:rPr>
                <w:rFonts w:ascii="宋体" w:hAnsi="宋体"/>
                <w:kern w:val="0"/>
                <w:sz w:val="18"/>
                <w:szCs w:val="18"/>
              </w:rPr>
            </w:pPr>
            <w:r>
              <w:rPr>
                <w:rFonts w:ascii="宋体" w:hAnsi="宋体"/>
                <w:kern w:val="0"/>
                <w:sz w:val="18"/>
                <w:szCs w:val="18"/>
              </w:rPr>
              <w:t>功能要求</w:t>
            </w:r>
          </w:p>
        </w:tc>
        <w:tc>
          <w:tcPr>
            <w:tcW w:w="820" w:type="dxa"/>
            <w:vMerge w:val="continue"/>
            <w:tcBorders>
              <w:top w:val="nil"/>
              <w:left w:val="single" w:color="auto" w:sz="4" w:space="0"/>
              <w:bottom w:val="single" w:color="auto" w:sz="4" w:space="0"/>
              <w:right w:val="single" w:color="auto" w:sz="4" w:space="0"/>
            </w:tcBorders>
            <w:vAlign w:val="center"/>
          </w:tcPr>
          <w:p w14:paraId="2FC7B33A">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1B3375D0">
            <w:pPr>
              <w:widowControl/>
              <w:jc w:val="left"/>
              <w:rPr>
                <w:rFonts w:ascii="宋体" w:hAnsi="宋体"/>
                <w:kern w:val="0"/>
                <w:sz w:val="18"/>
                <w:szCs w:val="18"/>
              </w:rPr>
            </w:pPr>
            <w:r>
              <w:rPr>
                <w:rFonts w:ascii="宋体" w:hAnsi="宋体"/>
                <w:kern w:val="0"/>
                <w:sz w:val="18"/>
                <w:szCs w:val="18"/>
              </w:rPr>
              <w:t>主板防烧板设计</w:t>
            </w:r>
          </w:p>
        </w:tc>
        <w:tc>
          <w:tcPr>
            <w:tcW w:w="8860" w:type="dxa"/>
            <w:tcBorders>
              <w:top w:val="nil"/>
              <w:left w:val="nil"/>
              <w:bottom w:val="single" w:color="auto" w:sz="4" w:space="0"/>
              <w:right w:val="single" w:color="auto" w:sz="4" w:space="0"/>
            </w:tcBorders>
            <w:vAlign w:val="center"/>
          </w:tcPr>
          <w:p w14:paraId="203B79D1">
            <w:pPr>
              <w:widowControl/>
              <w:jc w:val="left"/>
              <w:rPr>
                <w:rFonts w:ascii="宋体" w:hAnsi="宋体"/>
                <w:kern w:val="0"/>
                <w:sz w:val="18"/>
                <w:szCs w:val="18"/>
              </w:rPr>
            </w:pPr>
            <w:r>
              <w:rPr>
                <w:rFonts w:ascii="宋体" w:hAnsi="宋体"/>
                <w:kern w:val="0"/>
                <w:sz w:val="18"/>
                <w:szCs w:val="18"/>
              </w:rPr>
              <w:t>支持主板防烧板设计，保证电源故障后不扩散</w:t>
            </w:r>
          </w:p>
        </w:tc>
      </w:tr>
      <w:tr w14:paraId="0BF37E36">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026EA11E">
            <w:pPr>
              <w:widowControl/>
              <w:jc w:val="center"/>
              <w:rPr>
                <w:rFonts w:ascii="宋体" w:hAnsi="宋体"/>
                <w:kern w:val="0"/>
                <w:sz w:val="18"/>
                <w:szCs w:val="18"/>
              </w:rPr>
            </w:pPr>
            <w:r>
              <w:rPr>
                <w:rFonts w:ascii="宋体" w:hAnsi="宋体"/>
                <w:kern w:val="0"/>
                <w:sz w:val="18"/>
                <w:szCs w:val="18"/>
              </w:rPr>
              <w:t>50</w:t>
            </w:r>
          </w:p>
        </w:tc>
        <w:tc>
          <w:tcPr>
            <w:tcW w:w="1220" w:type="dxa"/>
            <w:tcBorders>
              <w:top w:val="nil"/>
              <w:left w:val="nil"/>
              <w:bottom w:val="single" w:color="auto" w:sz="4" w:space="0"/>
              <w:right w:val="single" w:color="auto" w:sz="4" w:space="0"/>
            </w:tcBorders>
            <w:vAlign w:val="center"/>
          </w:tcPr>
          <w:p w14:paraId="6927B18B">
            <w:pPr>
              <w:widowControl/>
              <w:jc w:val="left"/>
              <w:rPr>
                <w:rFonts w:ascii="宋体" w:hAnsi="宋体"/>
                <w:kern w:val="0"/>
                <w:sz w:val="18"/>
                <w:szCs w:val="18"/>
              </w:rPr>
            </w:pPr>
            <w:r>
              <w:rPr>
                <w:rFonts w:ascii="宋体" w:hAnsi="宋体"/>
                <w:kern w:val="0"/>
                <w:sz w:val="18"/>
                <w:szCs w:val="18"/>
              </w:rPr>
              <w:t>功能要求</w:t>
            </w:r>
          </w:p>
        </w:tc>
        <w:tc>
          <w:tcPr>
            <w:tcW w:w="820" w:type="dxa"/>
            <w:vMerge w:val="continue"/>
            <w:tcBorders>
              <w:top w:val="nil"/>
              <w:left w:val="single" w:color="auto" w:sz="4" w:space="0"/>
              <w:bottom w:val="single" w:color="auto" w:sz="4" w:space="0"/>
              <w:right w:val="single" w:color="auto" w:sz="4" w:space="0"/>
            </w:tcBorders>
            <w:vAlign w:val="center"/>
          </w:tcPr>
          <w:p w14:paraId="32D323CD">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69113514">
            <w:pPr>
              <w:widowControl/>
              <w:jc w:val="left"/>
              <w:rPr>
                <w:rFonts w:ascii="宋体" w:hAnsi="宋体"/>
                <w:kern w:val="0"/>
                <w:sz w:val="18"/>
                <w:szCs w:val="18"/>
              </w:rPr>
            </w:pPr>
            <w:r>
              <w:rPr>
                <w:rFonts w:ascii="宋体" w:hAnsi="宋体"/>
                <w:kern w:val="0"/>
                <w:sz w:val="18"/>
                <w:szCs w:val="18"/>
              </w:rPr>
              <w:t>扩展功能</w:t>
            </w:r>
          </w:p>
        </w:tc>
        <w:tc>
          <w:tcPr>
            <w:tcW w:w="8860" w:type="dxa"/>
            <w:tcBorders>
              <w:top w:val="nil"/>
              <w:left w:val="nil"/>
              <w:bottom w:val="single" w:color="auto" w:sz="4" w:space="0"/>
              <w:right w:val="single" w:color="auto" w:sz="4" w:space="0"/>
            </w:tcBorders>
            <w:vAlign w:val="center"/>
          </w:tcPr>
          <w:p w14:paraId="542E36A7">
            <w:pPr>
              <w:widowControl/>
              <w:jc w:val="left"/>
              <w:rPr>
                <w:rFonts w:ascii="宋体" w:hAnsi="宋体"/>
                <w:kern w:val="0"/>
                <w:sz w:val="18"/>
                <w:szCs w:val="18"/>
              </w:rPr>
            </w:pPr>
            <w:r>
              <w:rPr>
                <w:rFonts w:ascii="宋体" w:hAnsi="宋体"/>
                <w:kern w:val="0"/>
                <w:sz w:val="18"/>
                <w:szCs w:val="18"/>
              </w:rPr>
              <w:t>实现至少一种扩展功能，如存储功能卡、显示功能卡、运算加速功能卡及网络功能卡等扩展功能</w:t>
            </w:r>
          </w:p>
        </w:tc>
      </w:tr>
      <w:tr w14:paraId="129B0254">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173D936B">
            <w:pPr>
              <w:widowControl/>
              <w:jc w:val="center"/>
              <w:rPr>
                <w:rFonts w:ascii="宋体" w:hAnsi="宋体"/>
                <w:kern w:val="0"/>
                <w:sz w:val="18"/>
                <w:szCs w:val="18"/>
              </w:rPr>
            </w:pPr>
            <w:r>
              <w:rPr>
                <w:rFonts w:ascii="宋体" w:hAnsi="宋体"/>
                <w:kern w:val="0"/>
                <w:sz w:val="18"/>
                <w:szCs w:val="18"/>
              </w:rPr>
              <w:t>51</w:t>
            </w:r>
          </w:p>
        </w:tc>
        <w:tc>
          <w:tcPr>
            <w:tcW w:w="1220" w:type="dxa"/>
            <w:tcBorders>
              <w:top w:val="nil"/>
              <w:left w:val="nil"/>
              <w:bottom w:val="single" w:color="auto" w:sz="4" w:space="0"/>
              <w:right w:val="single" w:color="auto" w:sz="4" w:space="0"/>
            </w:tcBorders>
            <w:vAlign w:val="center"/>
          </w:tcPr>
          <w:p w14:paraId="304D3362">
            <w:pPr>
              <w:widowControl/>
              <w:jc w:val="left"/>
              <w:rPr>
                <w:rFonts w:ascii="宋体" w:hAnsi="宋体"/>
                <w:kern w:val="0"/>
                <w:sz w:val="18"/>
                <w:szCs w:val="18"/>
              </w:rPr>
            </w:pPr>
            <w:r>
              <w:rPr>
                <w:rFonts w:ascii="宋体" w:hAnsi="宋体"/>
                <w:kern w:val="0"/>
                <w:sz w:val="18"/>
                <w:szCs w:val="18"/>
              </w:rPr>
              <w:t>功能要求</w:t>
            </w:r>
          </w:p>
        </w:tc>
        <w:tc>
          <w:tcPr>
            <w:tcW w:w="820" w:type="dxa"/>
            <w:tcBorders>
              <w:top w:val="nil"/>
              <w:left w:val="nil"/>
              <w:bottom w:val="single" w:color="auto" w:sz="4" w:space="0"/>
              <w:right w:val="single" w:color="auto" w:sz="4" w:space="0"/>
            </w:tcBorders>
            <w:vAlign w:val="center"/>
          </w:tcPr>
          <w:p w14:paraId="1CB90355">
            <w:pPr>
              <w:widowControl/>
              <w:jc w:val="center"/>
              <w:rPr>
                <w:rFonts w:ascii="宋体" w:hAnsi="宋体"/>
                <w:kern w:val="0"/>
                <w:sz w:val="18"/>
                <w:szCs w:val="18"/>
              </w:rPr>
            </w:pPr>
            <w:r>
              <w:rPr>
                <w:rFonts w:ascii="宋体" w:hAnsi="宋体"/>
                <w:kern w:val="0"/>
                <w:sz w:val="18"/>
                <w:szCs w:val="18"/>
              </w:rPr>
              <w:t>网络功能</w:t>
            </w:r>
          </w:p>
        </w:tc>
        <w:tc>
          <w:tcPr>
            <w:tcW w:w="1320" w:type="dxa"/>
            <w:tcBorders>
              <w:top w:val="nil"/>
              <w:left w:val="nil"/>
              <w:bottom w:val="single" w:color="auto" w:sz="4" w:space="0"/>
              <w:right w:val="single" w:color="auto" w:sz="4" w:space="0"/>
            </w:tcBorders>
            <w:vAlign w:val="center"/>
          </w:tcPr>
          <w:p w14:paraId="00C1875C">
            <w:pPr>
              <w:widowControl/>
              <w:jc w:val="left"/>
              <w:rPr>
                <w:rFonts w:ascii="宋体" w:hAnsi="宋体"/>
                <w:kern w:val="0"/>
                <w:sz w:val="18"/>
                <w:szCs w:val="18"/>
              </w:rPr>
            </w:pPr>
            <w:r>
              <w:rPr>
                <w:rFonts w:ascii="宋体" w:hAnsi="宋体"/>
                <w:kern w:val="0"/>
                <w:sz w:val="18"/>
                <w:szCs w:val="18"/>
              </w:rPr>
              <w:t>★网络功能</w:t>
            </w:r>
          </w:p>
        </w:tc>
        <w:tc>
          <w:tcPr>
            <w:tcW w:w="8860" w:type="dxa"/>
            <w:tcBorders>
              <w:top w:val="nil"/>
              <w:left w:val="nil"/>
              <w:bottom w:val="single" w:color="auto" w:sz="4" w:space="0"/>
              <w:right w:val="single" w:color="auto" w:sz="4" w:space="0"/>
            </w:tcBorders>
            <w:vAlign w:val="center"/>
          </w:tcPr>
          <w:p w14:paraId="1B727FBC">
            <w:pPr>
              <w:widowControl/>
              <w:jc w:val="left"/>
              <w:rPr>
                <w:rFonts w:ascii="宋体" w:hAnsi="宋体"/>
                <w:kern w:val="0"/>
                <w:sz w:val="18"/>
                <w:szCs w:val="18"/>
              </w:rPr>
            </w:pPr>
            <w:r>
              <w:rPr>
                <w:rFonts w:ascii="宋体" w:hAnsi="宋体"/>
                <w:kern w:val="0"/>
                <w:sz w:val="18"/>
                <w:szCs w:val="18"/>
              </w:rPr>
              <w:t>支持网络连接、网络访问、数据交换和网络管控功能</w:t>
            </w:r>
          </w:p>
        </w:tc>
      </w:tr>
      <w:tr w14:paraId="708FF2E4">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5FB503E1">
            <w:pPr>
              <w:widowControl/>
              <w:jc w:val="center"/>
              <w:rPr>
                <w:rFonts w:ascii="宋体" w:hAnsi="宋体"/>
                <w:kern w:val="0"/>
                <w:sz w:val="18"/>
                <w:szCs w:val="18"/>
              </w:rPr>
            </w:pPr>
            <w:r>
              <w:rPr>
                <w:rFonts w:ascii="宋体" w:hAnsi="宋体"/>
                <w:kern w:val="0"/>
                <w:sz w:val="18"/>
                <w:szCs w:val="18"/>
              </w:rPr>
              <w:t>52</w:t>
            </w:r>
          </w:p>
        </w:tc>
        <w:tc>
          <w:tcPr>
            <w:tcW w:w="1220" w:type="dxa"/>
            <w:tcBorders>
              <w:top w:val="nil"/>
              <w:left w:val="nil"/>
              <w:bottom w:val="single" w:color="auto" w:sz="4" w:space="0"/>
              <w:right w:val="single" w:color="auto" w:sz="4" w:space="0"/>
            </w:tcBorders>
            <w:vAlign w:val="center"/>
          </w:tcPr>
          <w:p w14:paraId="3E62A924">
            <w:pPr>
              <w:widowControl/>
              <w:jc w:val="left"/>
              <w:rPr>
                <w:rFonts w:ascii="宋体" w:hAnsi="宋体"/>
                <w:kern w:val="0"/>
                <w:sz w:val="18"/>
                <w:szCs w:val="18"/>
              </w:rPr>
            </w:pPr>
            <w:r>
              <w:rPr>
                <w:rFonts w:ascii="宋体" w:hAnsi="宋体"/>
                <w:kern w:val="0"/>
                <w:sz w:val="18"/>
                <w:szCs w:val="18"/>
              </w:rPr>
              <w:t>功能要求</w:t>
            </w:r>
          </w:p>
        </w:tc>
        <w:tc>
          <w:tcPr>
            <w:tcW w:w="820" w:type="dxa"/>
            <w:vMerge w:val="restart"/>
            <w:tcBorders>
              <w:top w:val="nil"/>
              <w:left w:val="single" w:color="auto" w:sz="4" w:space="0"/>
              <w:bottom w:val="single" w:color="auto" w:sz="4" w:space="0"/>
              <w:right w:val="single" w:color="auto" w:sz="4" w:space="0"/>
            </w:tcBorders>
            <w:vAlign w:val="center"/>
          </w:tcPr>
          <w:p w14:paraId="69FF9681">
            <w:pPr>
              <w:widowControl/>
              <w:jc w:val="center"/>
              <w:rPr>
                <w:rFonts w:ascii="宋体" w:hAnsi="宋体"/>
                <w:kern w:val="0"/>
                <w:sz w:val="18"/>
                <w:szCs w:val="18"/>
              </w:rPr>
            </w:pPr>
            <w:r>
              <w:rPr>
                <w:rFonts w:ascii="宋体" w:hAnsi="宋体"/>
                <w:kern w:val="0"/>
                <w:sz w:val="18"/>
                <w:szCs w:val="18"/>
              </w:rPr>
              <w:t>CPU功能</w:t>
            </w:r>
          </w:p>
        </w:tc>
        <w:tc>
          <w:tcPr>
            <w:tcW w:w="1320" w:type="dxa"/>
            <w:tcBorders>
              <w:top w:val="nil"/>
              <w:left w:val="nil"/>
              <w:bottom w:val="single" w:color="auto" w:sz="4" w:space="0"/>
              <w:right w:val="single" w:color="auto" w:sz="4" w:space="0"/>
            </w:tcBorders>
            <w:vAlign w:val="center"/>
          </w:tcPr>
          <w:p w14:paraId="0D3DB732">
            <w:pPr>
              <w:widowControl/>
              <w:jc w:val="left"/>
              <w:rPr>
                <w:rFonts w:ascii="宋体" w:hAnsi="宋体"/>
                <w:kern w:val="0"/>
                <w:sz w:val="18"/>
                <w:szCs w:val="18"/>
              </w:rPr>
            </w:pPr>
            <w:r>
              <w:rPr>
                <w:rFonts w:ascii="宋体" w:hAnsi="宋体"/>
                <w:kern w:val="0"/>
                <w:sz w:val="18"/>
                <w:szCs w:val="18"/>
              </w:rPr>
              <w:t>★计算处理</w:t>
            </w:r>
          </w:p>
        </w:tc>
        <w:tc>
          <w:tcPr>
            <w:tcW w:w="8860" w:type="dxa"/>
            <w:tcBorders>
              <w:top w:val="nil"/>
              <w:left w:val="nil"/>
              <w:bottom w:val="single" w:color="auto" w:sz="4" w:space="0"/>
              <w:right w:val="single" w:color="auto" w:sz="4" w:space="0"/>
            </w:tcBorders>
            <w:vAlign w:val="center"/>
          </w:tcPr>
          <w:p w14:paraId="13A9B4F6">
            <w:pPr>
              <w:widowControl/>
              <w:jc w:val="left"/>
              <w:rPr>
                <w:rFonts w:ascii="宋体" w:hAnsi="宋体"/>
                <w:kern w:val="0"/>
                <w:sz w:val="18"/>
                <w:szCs w:val="18"/>
              </w:rPr>
            </w:pPr>
            <w:r>
              <w:rPr>
                <w:rFonts w:ascii="宋体" w:hAnsi="宋体"/>
                <w:kern w:val="0"/>
                <w:sz w:val="18"/>
                <w:szCs w:val="18"/>
              </w:rPr>
              <w:t>支持通用计算及虚拟化功能。处理器需集成整型计算单元、浮点计算单元、内存控制器、I/O模块等，处理器与存储部件、网络部件、I/O部件等组成计算系统，提供数据处理、网络接入等计算相关功能</w:t>
            </w:r>
          </w:p>
        </w:tc>
      </w:tr>
      <w:tr w14:paraId="74EDED52">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5D661780">
            <w:pPr>
              <w:widowControl/>
              <w:jc w:val="center"/>
              <w:rPr>
                <w:rFonts w:ascii="宋体" w:hAnsi="宋体"/>
                <w:kern w:val="0"/>
                <w:sz w:val="18"/>
                <w:szCs w:val="18"/>
              </w:rPr>
            </w:pPr>
            <w:r>
              <w:rPr>
                <w:rFonts w:ascii="宋体" w:hAnsi="宋体"/>
                <w:kern w:val="0"/>
                <w:sz w:val="18"/>
                <w:szCs w:val="18"/>
              </w:rPr>
              <w:t>53</w:t>
            </w:r>
          </w:p>
        </w:tc>
        <w:tc>
          <w:tcPr>
            <w:tcW w:w="1220" w:type="dxa"/>
            <w:tcBorders>
              <w:top w:val="nil"/>
              <w:left w:val="nil"/>
              <w:bottom w:val="single" w:color="auto" w:sz="4" w:space="0"/>
              <w:right w:val="single" w:color="auto" w:sz="4" w:space="0"/>
            </w:tcBorders>
            <w:vAlign w:val="center"/>
          </w:tcPr>
          <w:p w14:paraId="30A08150">
            <w:pPr>
              <w:widowControl/>
              <w:jc w:val="left"/>
              <w:rPr>
                <w:rFonts w:ascii="宋体" w:hAnsi="宋体"/>
                <w:kern w:val="0"/>
                <w:sz w:val="18"/>
                <w:szCs w:val="18"/>
              </w:rPr>
            </w:pPr>
            <w:r>
              <w:rPr>
                <w:rFonts w:ascii="宋体" w:hAnsi="宋体"/>
                <w:kern w:val="0"/>
                <w:sz w:val="18"/>
                <w:szCs w:val="18"/>
              </w:rPr>
              <w:t>功能要求</w:t>
            </w:r>
          </w:p>
        </w:tc>
        <w:tc>
          <w:tcPr>
            <w:tcW w:w="820" w:type="dxa"/>
            <w:vMerge w:val="continue"/>
            <w:tcBorders>
              <w:top w:val="nil"/>
              <w:left w:val="single" w:color="auto" w:sz="4" w:space="0"/>
              <w:bottom w:val="single" w:color="auto" w:sz="4" w:space="0"/>
              <w:right w:val="single" w:color="auto" w:sz="4" w:space="0"/>
            </w:tcBorders>
            <w:vAlign w:val="center"/>
          </w:tcPr>
          <w:p w14:paraId="188D9E8D">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0C083B74">
            <w:pPr>
              <w:widowControl/>
              <w:jc w:val="left"/>
              <w:rPr>
                <w:rFonts w:ascii="宋体" w:hAnsi="宋体"/>
                <w:kern w:val="0"/>
                <w:sz w:val="18"/>
                <w:szCs w:val="18"/>
              </w:rPr>
            </w:pPr>
            <w:r>
              <w:rPr>
                <w:rFonts w:ascii="宋体" w:hAnsi="宋体"/>
                <w:kern w:val="0"/>
                <w:sz w:val="18"/>
                <w:szCs w:val="18"/>
              </w:rPr>
              <w:t>★密码算法实现</w:t>
            </w:r>
          </w:p>
        </w:tc>
        <w:tc>
          <w:tcPr>
            <w:tcW w:w="8860" w:type="dxa"/>
            <w:tcBorders>
              <w:top w:val="nil"/>
              <w:left w:val="nil"/>
              <w:bottom w:val="single" w:color="auto" w:sz="4" w:space="0"/>
              <w:right w:val="single" w:color="auto" w:sz="4" w:space="0"/>
            </w:tcBorders>
            <w:vAlign w:val="center"/>
          </w:tcPr>
          <w:p w14:paraId="32DD7568">
            <w:pPr>
              <w:widowControl/>
              <w:jc w:val="left"/>
              <w:rPr>
                <w:rFonts w:ascii="宋体" w:hAnsi="宋体"/>
                <w:kern w:val="0"/>
                <w:sz w:val="18"/>
                <w:szCs w:val="18"/>
              </w:rPr>
            </w:pPr>
            <w:r>
              <w:rPr>
                <w:rFonts w:ascii="宋体" w:hAnsi="宋体"/>
                <w:kern w:val="0"/>
                <w:sz w:val="18"/>
                <w:szCs w:val="18"/>
              </w:rPr>
              <w:t>CPU芯片应符合GM/T0008的相关规定，或芯片密码模块应符合GB/T37092或GM/T0028的相关规定</w:t>
            </w:r>
          </w:p>
        </w:tc>
      </w:tr>
      <w:tr w14:paraId="6369337F">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66B65B1F">
            <w:pPr>
              <w:widowControl/>
              <w:jc w:val="center"/>
              <w:rPr>
                <w:rFonts w:ascii="宋体" w:hAnsi="宋体"/>
                <w:kern w:val="0"/>
                <w:sz w:val="18"/>
                <w:szCs w:val="18"/>
              </w:rPr>
            </w:pPr>
            <w:r>
              <w:rPr>
                <w:rFonts w:ascii="宋体" w:hAnsi="宋体"/>
                <w:kern w:val="0"/>
                <w:sz w:val="18"/>
                <w:szCs w:val="18"/>
              </w:rPr>
              <w:t>54</w:t>
            </w:r>
          </w:p>
        </w:tc>
        <w:tc>
          <w:tcPr>
            <w:tcW w:w="1220" w:type="dxa"/>
            <w:tcBorders>
              <w:top w:val="nil"/>
              <w:left w:val="nil"/>
              <w:bottom w:val="single" w:color="auto" w:sz="4" w:space="0"/>
              <w:right w:val="single" w:color="auto" w:sz="4" w:space="0"/>
            </w:tcBorders>
            <w:vAlign w:val="center"/>
          </w:tcPr>
          <w:p w14:paraId="7CD2A9AC">
            <w:pPr>
              <w:widowControl/>
              <w:jc w:val="left"/>
              <w:rPr>
                <w:rFonts w:ascii="宋体" w:hAnsi="宋体"/>
                <w:kern w:val="0"/>
                <w:sz w:val="18"/>
                <w:szCs w:val="18"/>
              </w:rPr>
            </w:pPr>
            <w:r>
              <w:rPr>
                <w:rFonts w:ascii="宋体" w:hAnsi="宋体"/>
                <w:kern w:val="0"/>
                <w:sz w:val="18"/>
                <w:szCs w:val="18"/>
              </w:rPr>
              <w:t>功能要求</w:t>
            </w:r>
          </w:p>
        </w:tc>
        <w:tc>
          <w:tcPr>
            <w:tcW w:w="820" w:type="dxa"/>
            <w:vMerge w:val="restart"/>
            <w:tcBorders>
              <w:top w:val="nil"/>
              <w:left w:val="single" w:color="auto" w:sz="4" w:space="0"/>
              <w:bottom w:val="single" w:color="auto" w:sz="4" w:space="0"/>
              <w:right w:val="single" w:color="auto" w:sz="4" w:space="0"/>
            </w:tcBorders>
            <w:vAlign w:val="center"/>
          </w:tcPr>
          <w:p w14:paraId="38C41D87">
            <w:pPr>
              <w:widowControl/>
              <w:jc w:val="center"/>
              <w:rPr>
                <w:rFonts w:ascii="宋体" w:hAnsi="宋体"/>
                <w:kern w:val="0"/>
                <w:sz w:val="18"/>
                <w:szCs w:val="18"/>
              </w:rPr>
            </w:pPr>
            <w:r>
              <w:rPr>
                <w:rFonts w:ascii="宋体" w:hAnsi="宋体"/>
                <w:kern w:val="0"/>
                <w:sz w:val="18"/>
                <w:szCs w:val="18"/>
              </w:rPr>
              <w:t>存储功能</w:t>
            </w:r>
          </w:p>
        </w:tc>
        <w:tc>
          <w:tcPr>
            <w:tcW w:w="1320" w:type="dxa"/>
            <w:tcBorders>
              <w:top w:val="nil"/>
              <w:left w:val="nil"/>
              <w:bottom w:val="single" w:color="auto" w:sz="4" w:space="0"/>
              <w:right w:val="single" w:color="auto" w:sz="4" w:space="0"/>
            </w:tcBorders>
            <w:vAlign w:val="center"/>
          </w:tcPr>
          <w:p w14:paraId="56AD8933">
            <w:pPr>
              <w:widowControl/>
              <w:jc w:val="left"/>
              <w:rPr>
                <w:rFonts w:ascii="宋体" w:hAnsi="宋体"/>
                <w:kern w:val="0"/>
                <w:sz w:val="18"/>
                <w:szCs w:val="18"/>
              </w:rPr>
            </w:pPr>
            <w:r>
              <w:rPr>
                <w:rFonts w:ascii="宋体" w:hAnsi="宋体"/>
                <w:kern w:val="0"/>
                <w:sz w:val="18"/>
                <w:szCs w:val="18"/>
              </w:rPr>
              <w:t>内存校验</w:t>
            </w:r>
          </w:p>
        </w:tc>
        <w:tc>
          <w:tcPr>
            <w:tcW w:w="8860" w:type="dxa"/>
            <w:tcBorders>
              <w:top w:val="nil"/>
              <w:left w:val="nil"/>
              <w:bottom w:val="single" w:color="auto" w:sz="4" w:space="0"/>
              <w:right w:val="single" w:color="auto" w:sz="4" w:space="0"/>
            </w:tcBorders>
            <w:vAlign w:val="center"/>
          </w:tcPr>
          <w:p w14:paraId="5A755C77">
            <w:pPr>
              <w:widowControl/>
              <w:jc w:val="left"/>
              <w:rPr>
                <w:rFonts w:ascii="宋体" w:hAnsi="宋体"/>
                <w:kern w:val="0"/>
                <w:sz w:val="18"/>
                <w:szCs w:val="18"/>
              </w:rPr>
            </w:pPr>
            <w:r>
              <w:rPr>
                <w:rFonts w:ascii="宋体" w:hAnsi="宋体"/>
                <w:kern w:val="0"/>
                <w:sz w:val="18"/>
                <w:szCs w:val="18"/>
              </w:rPr>
              <w:t>支持内存校验或内存增强型纠错功能</w:t>
            </w:r>
          </w:p>
        </w:tc>
      </w:tr>
      <w:tr w14:paraId="4868D323">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55E9690D">
            <w:pPr>
              <w:widowControl/>
              <w:jc w:val="center"/>
              <w:rPr>
                <w:rFonts w:ascii="宋体" w:hAnsi="宋体"/>
                <w:kern w:val="0"/>
                <w:sz w:val="18"/>
                <w:szCs w:val="18"/>
              </w:rPr>
            </w:pPr>
            <w:r>
              <w:rPr>
                <w:rFonts w:ascii="宋体" w:hAnsi="宋体"/>
                <w:kern w:val="0"/>
                <w:sz w:val="18"/>
                <w:szCs w:val="18"/>
              </w:rPr>
              <w:t>55</w:t>
            </w:r>
          </w:p>
        </w:tc>
        <w:tc>
          <w:tcPr>
            <w:tcW w:w="1220" w:type="dxa"/>
            <w:tcBorders>
              <w:top w:val="nil"/>
              <w:left w:val="nil"/>
              <w:bottom w:val="single" w:color="auto" w:sz="4" w:space="0"/>
              <w:right w:val="single" w:color="auto" w:sz="4" w:space="0"/>
            </w:tcBorders>
            <w:vAlign w:val="center"/>
          </w:tcPr>
          <w:p w14:paraId="766FF05C">
            <w:pPr>
              <w:widowControl/>
              <w:jc w:val="left"/>
              <w:rPr>
                <w:rFonts w:ascii="宋体" w:hAnsi="宋体"/>
                <w:kern w:val="0"/>
                <w:sz w:val="18"/>
                <w:szCs w:val="18"/>
              </w:rPr>
            </w:pPr>
            <w:r>
              <w:rPr>
                <w:rFonts w:ascii="宋体" w:hAnsi="宋体"/>
                <w:kern w:val="0"/>
                <w:sz w:val="18"/>
                <w:szCs w:val="18"/>
              </w:rPr>
              <w:t>功能要求</w:t>
            </w:r>
          </w:p>
        </w:tc>
        <w:tc>
          <w:tcPr>
            <w:tcW w:w="820" w:type="dxa"/>
            <w:vMerge w:val="continue"/>
            <w:tcBorders>
              <w:top w:val="nil"/>
              <w:left w:val="single" w:color="auto" w:sz="4" w:space="0"/>
              <w:bottom w:val="single" w:color="auto" w:sz="4" w:space="0"/>
              <w:right w:val="single" w:color="auto" w:sz="4" w:space="0"/>
            </w:tcBorders>
            <w:vAlign w:val="center"/>
          </w:tcPr>
          <w:p w14:paraId="3F64F50E">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tcPr>
          <w:p w14:paraId="1F19E8D7">
            <w:pPr>
              <w:widowControl/>
              <w:jc w:val="left"/>
              <w:rPr>
                <w:rFonts w:ascii="宋体" w:hAnsi="宋体"/>
                <w:kern w:val="0"/>
                <w:sz w:val="18"/>
                <w:szCs w:val="18"/>
              </w:rPr>
            </w:pPr>
            <w:r>
              <w:rPr>
                <w:rFonts w:ascii="宋体" w:hAnsi="宋体"/>
                <w:kern w:val="0"/>
                <w:sz w:val="18"/>
                <w:szCs w:val="18"/>
              </w:rPr>
              <w:t>SATASSDNAND健康状态上报</w:t>
            </w:r>
          </w:p>
        </w:tc>
        <w:tc>
          <w:tcPr>
            <w:tcW w:w="8860" w:type="dxa"/>
            <w:tcBorders>
              <w:top w:val="nil"/>
              <w:left w:val="nil"/>
              <w:bottom w:val="single" w:color="auto" w:sz="4" w:space="0"/>
              <w:right w:val="single" w:color="auto" w:sz="4" w:space="0"/>
            </w:tcBorders>
            <w:vAlign w:val="center"/>
          </w:tcPr>
          <w:p w14:paraId="40062FE9">
            <w:pPr>
              <w:widowControl/>
              <w:jc w:val="left"/>
              <w:rPr>
                <w:rFonts w:ascii="宋体" w:hAnsi="宋体"/>
                <w:kern w:val="0"/>
                <w:sz w:val="18"/>
                <w:szCs w:val="18"/>
              </w:rPr>
            </w:pPr>
            <w:r>
              <w:rPr>
                <w:rFonts w:ascii="宋体" w:hAnsi="宋体"/>
                <w:kern w:val="0"/>
                <w:sz w:val="18"/>
                <w:szCs w:val="18"/>
              </w:rPr>
              <w:t>支持关键外部存储器（硬磁盘、SSD等）的健康状态上报并进行故障诊断</w:t>
            </w:r>
          </w:p>
        </w:tc>
      </w:tr>
      <w:tr w14:paraId="51299A99">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7878C937">
            <w:pPr>
              <w:widowControl/>
              <w:jc w:val="center"/>
              <w:rPr>
                <w:rFonts w:ascii="宋体" w:hAnsi="宋体"/>
                <w:kern w:val="0"/>
                <w:sz w:val="18"/>
                <w:szCs w:val="18"/>
              </w:rPr>
            </w:pPr>
            <w:r>
              <w:rPr>
                <w:rFonts w:ascii="宋体" w:hAnsi="宋体"/>
                <w:kern w:val="0"/>
                <w:sz w:val="18"/>
                <w:szCs w:val="18"/>
              </w:rPr>
              <w:t>56</w:t>
            </w:r>
          </w:p>
        </w:tc>
        <w:tc>
          <w:tcPr>
            <w:tcW w:w="1220" w:type="dxa"/>
            <w:tcBorders>
              <w:top w:val="nil"/>
              <w:left w:val="nil"/>
              <w:bottom w:val="single" w:color="auto" w:sz="4" w:space="0"/>
              <w:right w:val="single" w:color="auto" w:sz="4" w:space="0"/>
            </w:tcBorders>
            <w:vAlign w:val="center"/>
          </w:tcPr>
          <w:p w14:paraId="4CCC4B93">
            <w:pPr>
              <w:widowControl/>
              <w:jc w:val="left"/>
              <w:rPr>
                <w:rFonts w:ascii="宋体" w:hAnsi="宋体"/>
                <w:kern w:val="0"/>
                <w:sz w:val="18"/>
                <w:szCs w:val="18"/>
              </w:rPr>
            </w:pPr>
            <w:r>
              <w:rPr>
                <w:rFonts w:ascii="宋体" w:hAnsi="宋体"/>
                <w:kern w:val="0"/>
                <w:sz w:val="18"/>
                <w:szCs w:val="18"/>
              </w:rPr>
              <w:t>功能要求</w:t>
            </w:r>
          </w:p>
        </w:tc>
        <w:tc>
          <w:tcPr>
            <w:tcW w:w="820" w:type="dxa"/>
            <w:vMerge w:val="continue"/>
            <w:tcBorders>
              <w:top w:val="nil"/>
              <w:left w:val="single" w:color="auto" w:sz="4" w:space="0"/>
              <w:bottom w:val="single" w:color="auto" w:sz="4" w:space="0"/>
              <w:right w:val="single" w:color="auto" w:sz="4" w:space="0"/>
            </w:tcBorders>
            <w:vAlign w:val="center"/>
          </w:tcPr>
          <w:p w14:paraId="547C2556">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tcPr>
          <w:p w14:paraId="39B13367">
            <w:pPr>
              <w:widowControl/>
              <w:jc w:val="left"/>
              <w:rPr>
                <w:rFonts w:ascii="宋体" w:hAnsi="宋体"/>
                <w:kern w:val="0"/>
                <w:sz w:val="18"/>
                <w:szCs w:val="18"/>
              </w:rPr>
            </w:pPr>
            <w:r>
              <w:rPr>
                <w:rFonts w:ascii="宋体" w:hAnsi="宋体"/>
                <w:kern w:val="0"/>
                <w:sz w:val="18"/>
                <w:szCs w:val="18"/>
              </w:rPr>
              <w:t>SATASSD单die故障隔离</w:t>
            </w:r>
          </w:p>
        </w:tc>
        <w:tc>
          <w:tcPr>
            <w:tcW w:w="8860" w:type="dxa"/>
            <w:tcBorders>
              <w:top w:val="nil"/>
              <w:left w:val="nil"/>
              <w:bottom w:val="single" w:color="auto" w:sz="4" w:space="0"/>
              <w:right w:val="single" w:color="auto" w:sz="4" w:space="0"/>
            </w:tcBorders>
            <w:vAlign w:val="center"/>
          </w:tcPr>
          <w:p w14:paraId="5E0DC41E">
            <w:pPr>
              <w:widowControl/>
              <w:jc w:val="left"/>
              <w:rPr>
                <w:rFonts w:ascii="宋体" w:hAnsi="宋体"/>
                <w:kern w:val="0"/>
                <w:sz w:val="18"/>
                <w:szCs w:val="18"/>
              </w:rPr>
            </w:pPr>
            <w:r>
              <w:rPr>
                <w:rFonts w:ascii="宋体" w:hAnsi="宋体"/>
                <w:kern w:val="0"/>
                <w:sz w:val="18"/>
                <w:szCs w:val="18"/>
              </w:rPr>
              <w:t>支持SSD关键外部存储器中单存储晶元故障隔离</w:t>
            </w:r>
          </w:p>
        </w:tc>
      </w:tr>
      <w:tr w14:paraId="076B3348">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441CC868">
            <w:pPr>
              <w:widowControl/>
              <w:jc w:val="center"/>
              <w:rPr>
                <w:rFonts w:ascii="宋体" w:hAnsi="宋体"/>
                <w:kern w:val="0"/>
                <w:sz w:val="18"/>
                <w:szCs w:val="18"/>
              </w:rPr>
            </w:pPr>
            <w:r>
              <w:rPr>
                <w:rFonts w:ascii="宋体" w:hAnsi="宋体"/>
                <w:kern w:val="0"/>
                <w:sz w:val="18"/>
                <w:szCs w:val="18"/>
              </w:rPr>
              <w:t>57</w:t>
            </w:r>
          </w:p>
        </w:tc>
        <w:tc>
          <w:tcPr>
            <w:tcW w:w="1220" w:type="dxa"/>
            <w:tcBorders>
              <w:top w:val="nil"/>
              <w:left w:val="nil"/>
              <w:bottom w:val="single" w:color="auto" w:sz="4" w:space="0"/>
              <w:right w:val="single" w:color="auto" w:sz="4" w:space="0"/>
            </w:tcBorders>
            <w:vAlign w:val="center"/>
          </w:tcPr>
          <w:p w14:paraId="1F411C0B">
            <w:pPr>
              <w:widowControl/>
              <w:jc w:val="left"/>
              <w:rPr>
                <w:rFonts w:ascii="宋体" w:hAnsi="宋体"/>
                <w:kern w:val="0"/>
                <w:sz w:val="18"/>
                <w:szCs w:val="18"/>
              </w:rPr>
            </w:pPr>
            <w:r>
              <w:rPr>
                <w:rFonts w:ascii="宋体" w:hAnsi="宋体"/>
                <w:kern w:val="0"/>
                <w:sz w:val="18"/>
                <w:szCs w:val="18"/>
              </w:rPr>
              <w:t>功能要求</w:t>
            </w:r>
          </w:p>
        </w:tc>
        <w:tc>
          <w:tcPr>
            <w:tcW w:w="820" w:type="dxa"/>
            <w:vMerge w:val="restart"/>
            <w:tcBorders>
              <w:top w:val="nil"/>
              <w:left w:val="single" w:color="auto" w:sz="4" w:space="0"/>
              <w:bottom w:val="single" w:color="auto" w:sz="4" w:space="0"/>
              <w:right w:val="single" w:color="auto" w:sz="4" w:space="0"/>
            </w:tcBorders>
            <w:vAlign w:val="center"/>
          </w:tcPr>
          <w:p w14:paraId="1FDD98CE">
            <w:pPr>
              <w:widowControl/>
              <w:jc w:val="center"/>
              <w:rPr>
                <w:rFonts w:ascii="宋体" w:hAnsi="宋体"/>
                <w:kern w:val="0"/>
                <w:sz w:val="18"/>
                <w:szCs w:val="18"/>
              </w:rPr>
            </w:pPr>
            <w:r>
              <w:rPr>
                <w:rFonts w:ascii="宋体" w:hAnsi="宋体"/>
                <w:kern w:val="0"/>
                <w:sz w:val="18"/>
                <w:szCs w:val="18"/>
              </w:rPr>
              <w:t>RAID卡功能（若支持RAID卡）</w:t>
            </w:r>
          </w:p>
        </w:tc>
        <w:tc>
          <w:tcPr>
            <w:tcW w:w="1320" w:type="dxa"/>
            <w:tcBorders>
              <w:top w:val="nil"/>
              <w:left w:val="nil"/>
              <w:bottom w:val="single" w:color="auto" w:sz="4" w:space="0"/>
              <w:right w:val="single" w:color="auto" w:sz="4" w:space="0"/>
            </w:tcBorders>
            <w:vAlign w:val="center"/>
          </w:tcPr>
          <w:p w14:paraId="133BE344">
            <w:pPr>
              <w:widowControl/>
              <w:jc w:val="left"/>
              <w:rPr>
                <w:rFonts w:ascii="宋体" w:hAnsi="宋体"/>
                <w:kern w:val="0"/>
                <w:sz w:val="18"/>
                <w:szCs w:val="18"/>
              </w:rPr>
            </w:pPr>
            <w:r>
              <w:rPr>
                <w:rFonts w:ascii="宋体" w:hAnsi="宋体"/>
                <w:kern w:val="0"/>
                <w:sz w:val="18"/>
                <w:szCs w:val="18"/>
              </w:rPr>
              <w:t>RAID卡RAID级别支持</w:t>
            </w:r>
          </w:p>
        </w:tc>
        <w:tc>
          <w:tcPr>
            <w:tcW w:w="8860" w:type="dxa"/>
            <w:tcBorders>
              <w:top w:val="nil"/>
              <w:left w:val="nil"/>
              <w:bottom w:val="single" w:color="auto" w:sz="4" w:space="0"/>
              <w:right w:val="single" w:color="auto" w:sz="4" w:space="0"/>
            </w:tcBorders>
            <w:vAlign w:val="center"/>
          </w:tcPr>
          <w:p w14:paraId="7B8A65AA">
            <w:pPr>
              <w:widowControl/>
              <w:jc w:val="left"/>
              <w:rPr>
                <w:rFonts w:ascii="宋体" w:hAnsi="宋体"/>
                <w:kern w:val="0"/>
                <w:sz w:val="18"/>
                <w:szCs w:val="18"/>
              </w:rPr>
            </w:pPr>
            <w:r>
              <w:rPr>
                <w:rFonts w:ascii="宋体" w:hAnsi="宋体"/>
                <w:kern w:val="0"/>
                <w:sz w:val="18"/>
                <w:szCs w:val="18"/>
              </w:rPr>
              <w:t>RAID模式支持RAID0/1/10/5，存储型支持RAID0/1/5/6/10/50/60</w:t>
            </w:r>
          </w:p>
        </w:tc>
      </w:tr>
      <w:tr w14:paraId="2F153AFD">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369B02D6">
            <w:pPr>
              <w:widowControl/>
              <w:jc w:val="center"/>
              <w:rPr>
                <w:rFonts w:ascii="宋体" w:hAnsi="宋体"/>
                <w:kern w:val="0"/>
                <w:sz w:val="18"/>
                <w:szCs w:val="18"/>
              </w:rPr>
            </w:pPr>
            <w:r>
              <w:rPr>
                <w:rFonts w:ascii="宋体" w:hAnsi="宋体"/>
                <w:kern w:val="0"/>
                <w:sz w:val="18"/>
                <w:szCs w:val="18"/>
              </w:rPr>
              <w:t>58</w:t>
            </w:r>
          </w:p>
        </w:tc>
        <w:tc>
          <w:tcPr>
            <w:tcW w:w="1220" w:type="dxa"/>
            <w:tcBorders>
              <w:top w:val="nil"/>
              <w:left w:val="nil"/>
              <w:bottom w:val="single" w:color="auto" w:sz="4" w:space="0"/>
              <w:right w:val="single" w:color="auto" w:sz="4" w:space="0"/>
            </w:tcBorders>
            <w:vAlign w:val="center"/>
          </w:tcPr>
          <w:p w14:paraId="73C88FA0">
            <w:pPr>
              <w:widowControl/>
              <w:jc w:val="left"/>
              <w:rPr>
                <w:rFonts w:ascii="宋体" w:hAnsi="宋体"/>
                <w:kern w:val="0"/>
                <w:sz w:val="18"/>
                <w:szCs w:val="18"/>
              </w:rPr>
            </w:pPr>
            <w:r>
              <w:rPr>
                <w:rFonts w:ascii="宋体" w:hAnsi="宋体"/>
                <w:kern w:val="0"/>
                <w:sz w:val="18"/>
                <w:szCs w:val="18"/>
              </w:rPr>
              <w:t>功能要求</w:t>
            </w:r>
          </w:p>
        </w:tc>
        <w:tc>
          <w:tcPr>
            <w:tcW w:w="820" w:type="dxa"/>
            <w:vMerge w:val="continue"/>
            <w:tcBorders>
              <w:top w:val="nil"/>
              <w:left w:val="single" w:color="auto" w:sz="4" w:space="0"/>
              <w:bottom w:val="single" w:color="auto" w:sz="4" w:space="0"/>
              <w:right w:val="single" w:color="auto" w:sz="4" w:space="0"/>
            </w:tcBorders>
            <w:vAlign w:val="center"/>
          </w:tcPr>
          <w:p w14:paraId="703ADCB1">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1D315DFA">
            <w:pPr>
              <w:widowControl/>
              <w:jc w:val="left"/>
              <w:rPr>
                <w:rFonts w:ascii="宋体" w:hAnsi="宋体"/>
                <w:kern w:val="0"/>
                <w:sz w:val="18"/>
                <w:szCs w:val="18"/>
              </w:rPr>
            </w:pPr>
            <w:r>
              <w:rPr>
                <w:rFonts w:ascii="宋体" w:hAnsi="宋体"/>
                <w:kern w:val="0"/>
                <w:sz w:val="18"/>
                <w:szCs w:val="18"/>
              </w:rPr>
              <w:t>RAID卡BBU单元</w:t>
            </w:r>
          </w:p>
        </w:tc>
        <w:tc>
          <w:tcPr>
            <w:tcW w:w="8860" w:type="dxa"/>
            <w:tcBorders>
              <w:top w:val="nil"/>
              <w:left w:val="nil"/>
              <w:bottom w:val="single" w:color="auto" w:sz="4" w:space="0"/>
              <w:right w:val="single" w:color="auto" w:sz="4" w:space="0"/>
            </w:tcBorders>
            <w:vAlign w:val="center"/>
          </w:tcPr>
          <w:p w14:paraId="09EEF40D">
            <w:pPr>
              <w:widowControl/>
              <w:jc w:val="left"/>
              <w:rPr>
                <w:rFonts w:ascii="宋体" w:hAnsi="宋体"/>
                <w:kern w:val="0"/>
                <w:sz w:val="18"/>
                <w:szCs w:val="18"/>
              </w:rPr>
            </w:pPr>
            <w:r>
              <w:rPr>
                <w:rFonts w:ascii="宋体" w:hAnsi="宋体"/>
                <w:kern w:val="0"/>
                <w:sz w:val="18"/>
                <w:szCs w:val="18"/>
              </w:rPr>
              <w:t>RAID卡支持电池或电容备份单元</w:t>
            </w:r>
          </w:p>
        </w:tc>
      </w:tr>
      <w:tr w14:paraId="1681C1C4">
        <w:tblPrEx>
          <w:tblCellMar>
            <w:top w:w="0" w:type="dxa"/>
            <w:left w:w="108" w:type="dxa"/>
            <w:bottom w:w="0" w:type="dxa"/>
            <w:right w:w="108" w:type="dxa"/>
          </w:tblCellMar>
        </w:tblPrEx>
        <w:trPr>
          <w:trHeight w:val="926" w:hRule="atLeast"/>
        </w:trPr>
        <w:tc>
          <w:tcPr>
            <w:tcW w:w="480" w:type="dxa"/>
            <w:tcBorders>
              <w:top w:val="nil"/>
              <w:left w:val="single" w:color="auto" w:sz="4" w:space="0"/>
              <w:bottom w:val="single" w:color="auto" w:sz="4" w:space="0"/>
              <w:right w:val="single" w:color="auto" w:sz="4" w:space="0"/>
            </w:tcBorders>
            <w:vAlign w:val="center"/>
          </w:tcPr>
          <w:p w14:paraId="5C84D273">
            <w:pPr>
              <w:widowControl/>
              <w:jc w:val="center"/>
              <w:rPr>
                <w:rFonts w:ascii="宋体" w:hAnsi="宋体"/>
                <w:kern w:val="0"/>
                <w:sz w:val="18"/>
                <w:szCs w:val="18"/>
              </w:rPr>
            </w:pPr>
            <w:r>
              <w:rPr>
                <w:rFonts w:ascii="宋体" w:hAnsi="宋体"/>
                <w:kern w:val="0"/>
                <w:sz w:val="18"/>
                <w:szCs w:val="18"/>
              </w:rPr>
              <w:t>59</w:t>
            </w:r>
          </w:p>
        </w:tc>
        <w:tc>
          <w:tcPr>
            <w:tcW w:w="1220" w:type="dxa"/>
            <w:tcBorders>
              <w:top w:val="nil"/>
              <w:left w:val="nil"/>
              <w:bottom w:val="single" w:color="auto" w:sz="4" w:space="0"/>
              <w:right w:val="single" w:color="auto" w:sz="4" w:space="0"/>
            </w:tcBorders>
          </w:tcPr>
          <w:p w14:paraId="6E8A7E1C">
            <w:pPr>
              <w:widowControl/>
              <w:jc w:val="left"/>
              <w:rPr>
                <w:rFonts w:ascii="宋体" w:hAnsi="宋体"/>
                <w:kern w:val="0"/>
                <w:sz w:val="18"/>
                <w:szCs w:val="18"/>
              </w:rPr>
            </w:pPr>
            <w:r>
              <w:rPr>
                <w:rFonts w:ascii="宋体" w:hAnsi="宋体"/>
                <w:kern w:val="0"/>
                <w:sz w:val="18"/>
                <w:szCs w:val="18"/>
              </w:rPr>
              <w:t>功能要求</w:t>
            </w:r>
          </w:p>
        </w:tc>
        <w:tc>
          <w:tcPr>
            <w:tcW w:w="820" w:type="dxa"/>
            <w:tcBorders>
              <w:top w:val="nil"/>
              <w:left w:val="nil"/>
              <w:bottom w:val="single" w:color="auto" w:sz="4" w:space="0"/>
              <w:right w:val="single" w:color="auto" w:sz="4" w:space="0"/>
            </w:tcBorders>
            <w:vAlign w:val="center"/>
          </w:tcPr>
          <w:p w14:paraId="5214ED6F">
            <w:pPr>
              <w:widowControl/>
              <w:jc w:val="center"/>
              <w:rPr>
                <w:rFonts w:ascii="宋体" w:hAnsi="宋体"/>
                <w:kern w:val="0"/>
                <w:sz w:val="18"/>
                <w:szCs w:val="18"/>
              </w:rPr>
            </w:pPr>
            <w:r>
              <w:rPr>
                <w:rFonts w:ascii="宋体" w:hAnsi="宋体"/>
                <w:kern w:val="0"/>
                <w:sz w:val="18"/>
                <w:szCs w:val="18"/>
              </w:rPr>
              <w:t>光驱功能</w:t>
            </w:r>
          </w:p>
        </w:tc>
        <w:tc>
          <w:tcPr>
            <w:tcW w:w="1320" w:type="dxa"/>
            <w:tcBorders>
              <w:top w:val="nil"/>
              <w:left w:val="nil"/>
              <w:bottom w:val="single" w:color="auto" w:sz="4" w:space="0"/>
              <w:right w:val="single" w:color="auto" w:sz="4" w:space="0"/>
            </w:tcBorders>
            <w:vAlign w:val="center"/>
          </w:tcPr>
          <w:p w14:paraId="07E59F82">
            <w:pPr>
              <w:widowControl/>
              <w:jc w:val="left"/>
              <w:rPr>
                <w:rFonts w:ascii="宋体" w:hAnsi="宋体"/>
                <w:kern w:val="0"/>
                <w:sz w:val="18"/>
                <w:szCs w:val="18"/>
              </w:rPr>
            </w:pPr>
            <w:r>
              <w:rPr>
                <w:rFonts w:ascii="宋体" w:hAnsi="宋体"/>
                <w:kern w:val="0"/>
                <w:sz w:val="18"/>
                <w:szCs w:val="18"/>
              </w:rPr>
              <w:t>光驱类型（是否支持RW，以及光盘类型CD/DVD）</w:t>
            </w:r>
          </w:p>
        </w:tc>
        <w:tc>
          <w:tcPr>
            <w:tcW w:w="8860" w:type="dxa"/>
            <w:tcBorders>
              <w:top w:val="nil"/>
              <w:left w:val="nil"/>
              <w:bottom w:val="single" w:color="auto" w:sz="4" w:space="0"/>
              <w:right w:val="single" w:color="auto" w:sz="4" w:space="0"/>
            </w:tcBorders>
            <w:vAlign w:val="center"/>
          </w:tcPr>
          <w:p w14:paraId="0F24EC16">
            <w:pPr>
              <w:widowControl/>
              <w:jc w:val="left"/>
              <w:rPr>
                <w:rFonts w:ascii="宋体" w:hAnsi="宋体"/>
                <w:kern w:val="0"/>
                <w:sz w:val="18"/>
                <w:szCs w:val="18"/>
              </w:rPr>
            </w:pPr>
            <w:r>
              <w:rPr>
                <w:rFonts w:ascii="宋体" w:hAnsi="宋体"/>
                <w:kern w:val="0"/>
                <w:sz w:val="18"/>
                <w:szCs w:val="18"/>
              </w:rPr>
              <w:t>若配备光驱，应提供光驱的安装形式（如内置、外置）、光驱读写类型（如只读、可刻录等）、光盘类型的兼容列表（如CD-ROM、CD-RW、DVD±RW等）</w:t>
            </w:r>
          </w:p>
        </w:tc>
      </w:tr>
      <w:tr w14:paraId="2EF6E3F1">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0AF33168">
            <w:pPr>
              <w:widowControl/>
              <w:jc w:val="center"/>
              <w:rPr>
                <w:rFonts w:ascii="宋体" w:hAnsi="宋体"/>
                <w:kern w:val="0"/>
                <w:sz w:val="18"/>
                <w:szCs w:val="18"/>
              </w:rPr>
            </w:pPr>
            <w:r>
              <w:rPr>
                <w:rFonts w:ascii="宋体" w:hAnsi="宋体"/>
                <w:kern w:val="0"/>
                <w:sz w:val="18"/>
                <w:szCs w:val="18"/>
              </w:rPr>
              <w:t>60</w:t>
            </w:r>
          </w:p>
        </w:tc>
        <w:tc>
          <w:tcPr>
            <w:tcW w:w="1220" w:type="dxa"/>
            <w:tcBorders>
              <w:top w:val="nil"/>
              <w:left w:val="nil"/>
              <w:bottom w:val="single" w:color="auto" w:sz="4" w:space="0"/>
              <w:right w:val="single" w:color="auto" w:sz="4" w:space="0"/>
            </w:tcBorders>
          </w:tcPr>
          <w:p w14:paraId="2EBB14E9">
            <w:pPr>
              <w:widowControl/>
              <w:jc w:val="left"/>
              <w:rPr>
                <w:rFonts w:ascii="宋体" w:hAnsi="宋体"/>
                <w:kern w:val="0"/>
                <w:sz w:val="18"/>
                <w:szCs w:val="18"/>
              </w:rPr>
            </w:pPr>
            <w:r>
              <w:rPr>
                <w:rFonts w:ascii="宋体" w:hAnsi="宋体"/>
                <w:kern w:val="0"/>
                <w:sz w:val="18"/>
                <w:szCs w:val="18"/>
              </w:rPr>
              <w:t>功能要求</w:t>
            </w:r>
          </w:p>
        </w:tc>
        <w:tc>
          <w:tcPr>
            <w:tcW w:w="820" w:type="dxa"/>
            <w:vMerge w:val="restart"/>
            <w:tcBorders>
              <w:top w:val="nil"/>
              <w:left w:val="single" w:color="auto" w:sz="4" w:space="0"/>
              <w:bottom w:val="single" w:color="auto" w:sz="4" w:space="0"/>
              <w:right w:val="single" w:color="auto" w:sz="4" w:space="0"/>
            </w:tcBorders>
            <w:vAlign w:val="center"/>
          </w:tcPr>
          <w:p w14:paraId="5A1DF5FA">
            <w:pPr>
              <w:widowControl/>
              <w:jc w:val="left"/>
              <w:rPr>
                <w:rFonts w:ascii="宋体" w:hAnsi="宋体"/>
                <w:kern w:val="0"/>
                <w:sz w:val="18"/>
                <w:szCs w:val="18"/>
              </w:rPr>
            </w:pPr>
            <w:r>
              <w:rPr>
                <w:rFonts w:ascii="宋体" w:hAnsi="宋体"/>
                <w:kern w:val="0"/>
                <w:sz w:val="18"/>
                <w:szCs w:val="18"/>
              </w:rPr>
              <w:t>电源功能</w:t>
            </w:r>
          </w:p>
        </w:tc>
        <w:tc>
          <w:tcPr>
            <w:tcW w:w="1320" w:type="dxa"/>
            <w:tcBorders>
              <w:top w:val="nil"/>
              <w:left w:val="nil"/>
              <w:bottom w:val="single" w:color="auto" w:sz="4" w:space="0"/>
              <w:right w:val="single" w:color="auto" w:sz="4" w:space="0"/>
            </w:tcBorders>
            <w:vAlign w:val="center"/>
          </w:tcPr>
          <w:p w14:paraId="4A724EA9">
            <w:pPr>
              <w:widowControl/>
              <w:jc w:val="left"/>
              <w:rPr>
                <w:rFonts w:ascii="宋体" w:hAnsi="宋体"/>
                <w:kern w:val="0"/>
                <w:sz w:val="18"/>
                <w:szCs w:val="18"/>
              </w:rPr>
            </w:pPr>
            <w:r>
              <w:rPr>
                <w:rFonts w:ascii="宋体" w:hAnsi="宋体"/>
                <w:kern w:val="0"/>
                <w:sz w:val="18"/>
                <w:szCs w:val="18"/>
              </w:rPr>
              <w:t>★电源热插拔</w:t>
            </w:r>
          </w:p>
        </w:tc>
        <w:tc>
          <w:tcPr>
            <w:tcW w:w="8860" w:type="dxa"/>
            <w:tcBorders>
              <w:top w:val="nil"/>
              <w:left w:val="nil"/>
              <w:bottom w:val="single" w:color="auto" w:sz="4" w:space="0"/>
              <w:right w:val="single" w:color="auto" w:sz="4" w:space="0"/>
            </w:tcBorders>
            <w:vAlign w:val="center"/>
          </w:tcPr>
          <w:p w14:paraId="1E40973E">
            <w:pPr>
              <w:widowControl/>
              <w:jc w:val="left"/>
              <w:rPr>
                <w:rFonts w:ascii="宋体" w:hAnsi="宋体"/>
                <w:kern w:val="0"/>
                <w:sz w:val="18"/>
                <w:szCs w:val="18"/>
              </w:rPr>
            </w:pPr>
            <w:r>
              <w:rPr>
                <w:rFonts w:ascii="宋体" w:hAnsi="宋体"/>
                <w:kern w:val="0"/>
                <w:sz w:val="18"/>
                <w:szCs w:val="18"/>
              </w:rPr>
              <w:t>整机电源模块应具备热插拔功能</w:t>
            </w:r>
          </w:p>
        </w:tc>
      </w:tr>
      <w:tr w14:paraId="4113CFCC">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509353CA">
            <w:pPr>
              <w:widowControl/>
              <w:jc w:val="center"/>
              <w:rPr>
                <w:rFonts w:ascii="宋体" w:hAnsi="宋体"/>
                <w:kern w:val="0"/>
                <w:sz w:val="18"/>
                <w:szCs w:val="18"/>
              </w:rPr>
            </w:pPr>
            <w:r>
              <w:rPr>
                <w:rFonts w:ascii="宋体" w:hAnsi="宋体"/>
                <w:kern w:val="0"/>
                <w:sz w:val="18"/>
                <w:szCs w:val="18"/>
              </w:rPr>
              <w:t>61</w:t>
            </w:r>
          </w:p>
        </w:tc>
        <w:tc>
          <w:tcPr>
            <w:tcW w:w="1220" w:type="dxa"/>
            <w:tcBorders>
              <w:top w:val="nil"/>
              <w:left w:val="nil"/>
              <w:bottom w:val="single" w:color="auto" w:sz="4" w:space="0"/>
              <w:right w:val="single" w:color="auto" w:sz="4" w:space="0"/>
            </w:tcBorders>
          </w:tcPr>
          <w:p w14:paraId="3F0251E9">
            <w:pPr>
              <w:widowControl/>
              <w:jc w:val="left"/>
              <w:rPr>
                <w:rFonts w:ascii="宋体" w:hAnsi="宋体"/>
                <w:kern w:val="0"/>
                <w:sz w:val="18"/>
                <w:szCs w:val="18"/>
              </w:rPr>
            </w:pPr>
            <w:r>
              <w:rPr>
                <w:rFonts w:ascii="宋体" w:hAnsi="宋体"/>
                <w:kern w:val="0"/>
                <w:sz w:val="18"/>
                <w:szCs w:val="18"/>
              </w:rPr>
              <w:t>功能要求</w:t>
            </w:r>
          </w:p>
        </w:tc>
        <w:tc>
          <w:tcPr>
            <w:tcW w:w="820" w:type="dxa"/>
            <w:vMerge w:val="continue"/>
            <w:tcBorders>
              <w:top w:val="nil"/>
              <w:left w:val="single" w:color="auto" w:sz="4" w:space="0"/>
              <w:bottom w:val="single" w:color="auto" w:sz="4" w:space="0"/>
              <w:right w:val="single" w:color="auto" w:sz="4" w:space="0"/>
            </w:tcBorders>
            <w:vAlign w:val="center"/>
          </w:tcPr>
          <w:p w14:paraId="570D3634">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30E54B93">
            <w:pPr>
              <w:widowControl/>
              <w:jc w:val="left"/>
              <w:rPr>
                <w:rFonts w:ascii="宋体" w:hAnsi="宋体"/>
                <w:kern w:val="0"/>
                <w:sz w:val="18"/>
                <w:szCs w:val="18"/>
              </w:rPr>
            </w:pPr>
            <w:r>
              <w:rPr>
                <w:rFonts w:ascii="宋体" w:hAnsi="宋体"/>
                <w:kern w:val="0"/>
                <w:sz w:val="18"/>
                <w:szCs w:val="18"/>
              </w:rPr>
              <w:t>★电源过流保护</w:t>
            </w:r>
          </w:p>
        </w:tc>
        <w:tc>
          <w:tcPr>
            <w:tcW w:w="8860" w:type="dxa"/>
            <w:tcBorders>
              <w:top w:val="nil"/>
              <w:left w:val="nil"/>
              <w:bottom w:val="single" w:color="auto" w:sz="4" w:space="0"/>
              <w:right w:val="single" w:color="auto" w:sz="4" w:space="0"/>
            </w:tcBorders>
            <w:vAlign w:val="center"/>
          </w:tcPr>
          <w:p w14:paraId="67910258">
            <w:pPr>
              <w:widowControl/>
              <w:jc w:val="left"/>
              <w:rPr>
                <w:rFonts w:ascii="宋体" w:hAnsi="宋体"/>
                <w:kern w:val="0"/>
                <w:sz w:val="18"/>
                <w:szCs w:val="18"/>
              </w:rPr>
            </w:pPr>
            <w:r>
              <w:rPr>
                <w:rFonts w:ascii="宋体" w:hAnsi="宋体"/>
                <w:kern w:val="0"/>
                <w:sz w:val="18"/>
                <w:szCs w:val="18"/>
              </w:rPr>
              <w:t>支持过流及短路保护的功能</w:t>
            </w:r>
          </w:p>
        </w:tc>
      </w:tr>
      <w:tr w14:paraId="315C702D">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3017992E">
            <w:pPr>
              <w:widowControl/>
              <w:jc w:val="center"/>
              <w:rPr>
                <w:rFonts w:ascii="宋体" w:hAnsi="宋体"/>
                <w:kern w:val="0"/>
                <w:sz w:val="18"/>
                <w:szCs w:val="18"/>
              </w:rPr>
            </w:pPr>
            <w:r>
              <w:rPr>
                <w:rFonts w:ascii="宋体" w:hAnsi="宋体"/>
                <w:kern w:val="0"/>
                <w:sz w:val="18"/>
                <w:szCs w:val="18"/>
              </w:rPr>
              <w:t>62</w:t>
            </w:r>
          </w:p>
        </w:tc>
        <w:tc>
          <w:tcPr>
            <w:tcW w:w="1220" w:type="dxa"/>
            <w:tcBorders>
              <w:top w:val="nil"/>
              <w:left w:val="nil"/>
              <w:bottom w:val="single" w:color="auto" w:sz="4" w:space="0"/>
              <w:right w:val="single" w:color="auto" w:sz="4" w:space="0"/>
            </w:tcBorders>
          </w:tcPr>
          <w:p w14:paraId="145C4BE9">
            <w:pPr>
              <w:widowControl/>
              <w:jc w:val="left"/>
              <w:rPr>
                <w:rFonts w:ascii="宋体" w:hAnsi="宋体"/>
                <w:kern w:val="0"/>
                <w:sz w:val="18"/>
                <w:szCs w:val="18"/>
              </w:rPr>
            </w:pPr>
            <w:r>
              <w:rPr>
                <w:rFonts w:ascii="宋体" w:hAnsi="宋体"/>
                <w:kern w:val="0"/>
                <w:sz w:val="18"/>
                <w:szCs w:val="18"/>
              </w:rPr>
              <w:t>功能要求</w:t>
            </w:r>
          </w:p>
        </w:tc>
        <w:tc>
          <w:tcPr>
            <w:tcW w:w="820" w:type="dxa"/>
            <w:vMerge w:val="restart"/>
            <w:tcBorders>
              <w:top w:val="nil"/>
              <w:left w:val="single" w:color="auto" w:sz="4" w:space="0"/>
              <w:bottom w:val="single" w:color="auto" w:sz="4" w:space="0"/>
              <w:right w:val="single" w:color="auto" w:sz="4" w:space="0"/>
            </w:tcBorders>
            <w:vAlign w:val="center"/>
          </w:tcPr>
          <w:p w14:paraId="33D8E716">
            <w:pPr>
              <w:widowControl/>
              <w:jc w:val="center"/>
              <w:rPr>
                <w:rFonts w:ascii="宋体" w:hAnsi="宋体"/>
                <w:kern w:val="0"/>
                <w:sz w:val="18"/>
                <w:szCs w:val="18"/>
              </w:rPr>
            </w:pPr>
            <w:r>
              <w:rPr>
                <w:rFonts w:ascii="宋体" w:hAnsi="宋体"/>
                <w:kern w:val="0"/>
                <w:sz w:val="18"/>
                <w:szCs w:val="18"/>
              </w:rPr>
              <w:t>整机功能</w:t>
            </w:r>
          </w:p>
        </w:tc>
        <w:tc>
          <w:tcPr>
            <w:tcW w:w="1320" w:type="dxa"/>
            <w:tcBorders>
              <w:top w:val="nil"/>
              <w:left w:val="nil"/>
              <w:bottom w:val="single" w:color="auto" w:sz="4" w:space="0"/>
              <w:right w:val="single" w:color="auto" w:sz="4" w:space="0"/>
            </w:tcBorders>
            <w:vAlign w:val="center"/>
          </w:tcPr>
          <w:p w14:paraId="23260EBC">
            <w:pPr>
              <w:widowControl/>
              <w:jc w:val="left"/>
              <w:rPr>
                <w:rFonts w:ascii="宋体" w:hAnsi="宋体"/>
                <w:kern w:val="0"/>
                <w:sz w:val="18"/>
                <w:szCs w:val="18"/>
              </w:rPr>
            </w:pPr>
            <w:r>
              <w:rPr>
                <w:rFonts w:ascii="宋体" w:hAnsi="宋体"/>
                <w:kern w:val="0"/>
                <w:sz w:val="18"/>
                <w:szCs w:val="18"/>
              </w:rPr>
              <w:t>★散热方式</w:t>
            </w:r>
          </w:p>
        </w:tc>
        <w:tc>
          <w:tcPr>
            <w:tcW w:w="8860" w:type="dxa"/>
            <w:tcBorders>
              <w:top w:val="nil"/>
              <w:left w:val="nil"/>
              <w:bottom w:val="single" w:color="auto" w:sz="4" w:space="0"/>
              <w:right w:val="single" w:color="auto" w:sz="4" w:space="0"/>
            </w:tcBorders>
            <w:vAlign w:val="center"/>
          </w:tcPr>
          <w:p w14:paraId="061010AD">
            <w:pPr>
              <w:widowControl/>
              <w:jc w:val="left"/>
              <w:rPr>
                <w:rFonts w:ascii="宋体" w:hAnsi="宋体"/>
                <w:kern w:val="0"/>
                <w:sz w:val="18"/>
                <w:szCs w:val="18"/>
              </w:rPr>
            </w:pPr>
            <w:r>
              <w:rPr>
                <w:rFonts w:ascii="宋体" w:hAnsi="宋体"/>
                <w:kern w:val="0"/>
                <w:sz w:val="18"/>
                <w:szCs w:val="18"/>
              </w:rPr>
              <w:t>支持风冷或液冷等散热方式</w:t>
            </w:r>
          </w:p>
        </w:tc>
      </w:tr>
      <w:tr w14:paraId="2215CFEA">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42483215">
            <w:pPr>
              <w:widowControl/>
              <w:jc w:val="center"/>
              <w:rPr>
                <w:rFonts w:ascii="宋体" w:hAnsi="宋体"/>
                <w:kern w:val="0"/>
                <w:sz w:val="18"/>
                <w:szCs w:val="18"/>
              </w:rPr>
            </w:pPr>
            <w:r>
              <w:rPr>
                <w:rFonts w:ascii="宋体" w:hAnsi="宋体"/>
                <w:kern w:val="0"/>
                <w:sz w:val="18"/>
                <w:szCs w:val="18"/>
              </w:rPr>
              <w:t>63</w:t>
            </w:r>
          </w:p>
        </w:tc>
        <w:tc>
          <w:tcPr>
            <w:tcW w:w="1220" w:type="dxa"/>
            <w:tcBorders>
              <w:top w:val="nil"/>
              <w:left w:val="nil"/>
              <w:bottom w:val="single" w:color="auto" w:sz="4" w:space="0"/>
              <w:right w:val="single" w:color="auto" w:sz="4" w:space="0"/>
            </w:tcBorders>
          </w:tcPr>
          <w:p w14:paraId="66B63142">
            <w:pPr>
              <w:widowControl/>
              <w:jc w:val="left"/>
              <w:rPr>
                <w:rFonts w:ascii="宋体" w:hAnsi="宋体"/>
                <w:kern w:val="0"/>
                <w:sz w:val="18"/>
                <w:szCs w:val="18"/>
              </w:rPr>
            </w:pPr>
            <w:r>
              <w:rPr>
                <w:rFonts w:ascii="宋体" w:hAnsi="宋体"/>
                <w:kern w:val="0"/>
                <w:sz w:val="18"/>
                <w:szCs w:val="18"/>
              </w:rPr>
              <w:t>功能要求</w:t>
            </w:r>
          </w:p>
        </w:tc>
        <w:tc>
          <w:tcPr>
            <w:tcW w:w="820" w:type="dxa"/>
            <w:vMerge w:val="continue"/>
            <w:tcBorders>
              <w:top w:val="nil"/>
              <w:left w:val="single" w:color="auto" w:sz="4" w:space="0"/>
              <w:bottom w:val="single" w:color="auto" w:sz="4" w:space="0"/>
              <w:right w:val="single" w:color="auto" w:sz="4" w:space="0"/>
            </w:tcBorders>
            <w:vAlign w:val="center"/>
          </w:tcPr>
          <w:p w14:paraId="768CA4D0">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0C9BB8BA">
            <w:pPr>
              <w:widowControl/>
              <w:jc w:val="left"/>
              <w:rPr>
                <w:rFonts w:ascii="宋体" w:hAnsi="宋体"/>
                <w:kern w:val="0"/>
                <w:sz w:val="18"/>
                <w:szCs w:val="18"/>
              </w:rPr>
            </w:pPr>
            <w:r>
              <w:rPr>
                <w:rFonts w:ascii="宋体" w:hAnsi="宋体"/>
                <w:kern w:val="0"/>
                <w:sz w:val="18"/>
                <w:szCs w:val="18"/>
              </w:rPr>
              <w:t>其他功能</w:t>
            </w:r>
          </w:p>
        </w:tc>
        <w:tc>
          <w:tcPr>
            <w:tcW w:w="8860" w:type="dxa"/>
            <w:tcBorders>
              <w:top w:val="nil"/>
              <w:left w:val="nil"/>
              <w:bottom w:val="single" w:color="auto" w:sz="4" w:space="0"/>
              <w:right w:val="single" w:color="auto" w:sz="4" w:space="0"/>
            </w:tcBorders>
            <w:vAlign w:val="center"/>
          </w:tcPr>
          <w:p w14:paraId="4D0A601B">
            <w:pPr>
              <w:widowControl/>
              <w:jc w:val="left"/>
              <w:rPr>
                <w:rFonts w:ascii="宋体" w:hAnsi="宋体"/>
                <w:kern w:val="0"/>
                <w:sz w:val="18"/>
                <w:szCs w:val="18"/>
              </w:rPr>
            </w:pPr>
            <w:r>
              <w:rPr>
                <w:rFonts w:ascii="宋体" w:hAnsi="宋体"/>
                <w:kern w:val="0"/>
                <w:sz w:val="18"/>
                <w:szCs w:val="18"/>
              </w:rPr>
              <w:t>a)支持关键部件冗余（包括电源、风扇等）；b)支持熔断保护与恢复功能</w:t>
            </w:r>
          </w:p>
        </w:tc>
      </w:tr>
      <w:tr w14:paraId="05E30A9F">
        <w:tblPrEx>
          <w:tblCellMar>
            <w:top w:w="0" w:type="dxa"/>
            <w:left w:w="108" w:type="dxa"/>
            <w:bottom w:w="0" w:type="dxa"/>
            <w:right w:w="108" w:type="dxa"/>
          </w:tblCellMar>
        </w:tblPrEx>
        <w:trPr>
          <w:trHeight w:val="3009" w:hRule="atLeast"/>
        </w:trPr>
        <w:tc>
          <w:tcPr>
            <w:tcW w:w="480" w:type="dxa"/>
            <w:tcBorders>
              <w:top w:val="nil"/>
              <w:left w:val="single" w:color="auto" w:sz="4" w:space="0"/>
              <w:bottom w:val="single" w:color="auto" w:sz="4" w:space="0"/>
              <w:right w:val="single" w:color="auto" w:sz="4" w:space="0"/>
            </w:tcBorders>
            <w:vAlign w:val="center"/>
          </w:tcPr>
          <w:p w14:paraId="39D61142">
            <w:pPr>
              <w:widowControl/>
              <w:jc w:val="center"/>
              <w:rPr>
                <w:rFonts w:ascii="宋体" w:hAnsi="宋体"/>
                <w:kern w:val="0"/>
                <w:sz w:val="18"/>
                <w:szCs w:val="18"/>
              </w:rPr>
            </w:pPr>
            <w:r>
              <w:rPr>
                <w:rFonts w:ascii="宋体" w:hAnsi="宋体"/>
                <w:kern w:val="0"/>
                <w:sz w:val="18"/>
                <w:szCs w:val="18"/>
              </w:rPr>
              <w:t>64</w:t>
            </w:r>
          </w:p>
        </w:tc>
        <w:tc>
          <w:tcPr>
            <w:tcW w:w="1220" w:type="dxa"/>
            <w:tcBorders>
              <w:top w:val="nil"/>
              <w:left w:val="nil"/>
              <w:bottom w:val="single" w:color="auto" w:sz="4" w:space="0"/>
              <w:right w:val="single" w:color="auto" w:sz="4" w:space="0"/>
            </w:tcBorders>
            <w:vAlign w:val="center"/>
          </w:tcPr>
          <w:p w14:paraId="6460F53B">
            <w:pPr>
              <w:widowControl/>
              <w:jc w:val="left"/>
              <w:rPr>
                <w:rFonts w:ascii="宋体" w:hAnsi="宋体"/>
                <w:kern w:val="0"/>
                <w:sz w:val="18"/>
                <w:szCs w:val="18"/>
              </w:rPr>
            </w:pPr>
            <w:r>
              <w:rPr>
                <w:rFonts w:ascii="宋体" w:hAnsi="宋体"/>
                <w:kern w:val="0"/>
                <w:sz w:val="18"/>
                <w:szCs w:val="18"/>
              </w:rPr>
              <w:t>功能要求</w:t>
            </w:r>
          </w:p>
        </w:tc>
        <w:tc>
          <w:tcPr>
            <w:tcW w:w="820" w:type="dxa"/>
            <w:tcBorders>
              <w:top w:val="nil"/>
              <w:left w:val="nil"/>
              <w:bottom w:val="single" w:color="auto" w:sz="4" w:space="0"/>
              <w:right w:val="single" w:color="auto" w:sz="4" w:space="0"/>
            </w:tcBorders>
            <w:vAlign w:val="center"/>
          </w:tcPr>
          <w:p w14:paraId="76ACB39E">
            <w:pPr>
              <w:widowControl/>
              <w:jc w:val="left"/>
              <w:rPr>
                <w:rFonts w:ascii="宋体" w:hAnsi="宋体"/>
                <w:kern w:val="0"/>
                <w:sz w:val="18"/>
                <w:szCs w:val="18"/>
              </w:rPr>
            </w:pPr>
            <w:r>
              <w:rPr>
                <w:rFonts w:ascii="宋体" w:hAnsi="宋体"/>
                <w:kern w:val="0"/>
                <w:sz w:val="18"/>
                <w:szCs w:val="18"/>
              </w:rPr>
              <w:t>管理系统功能</w:t>
            </w:r>
          </w:p>
        </w:tc>
        <w:tc>
          <w:tcPr>
            <w:tcW w:w="1320" w:type="dxa"/>
            <w:tcBorders>
              <w:top w:val="nil"/>
              <w:left w:val="nil"/>
              <w:bottom w:val="single" w:color="auto" w:sz="4" w:space="0"/>
              <w:right w:val="single" w:color="auto" w:sz="4" w:space="0"/>
            </w:tcBorders>
            <w:vAlign w:val="center"/>
          </w:tcPr>
          <w:p w14:paraId="5A73B6C6">
            <w:pPr>
              <w:widowControl/>
              <w:jc w:val="left"/>
              <w:rPr>
                <w:rFonts w:ascii="宋体" w:hAnsi="宋体"/>
                <w:kern w:val="0"/>
                <w:sz w:val="18"/>
                <w:szCs w:val="18"/>
              </w:rPr>
            </w:pPr>
            <w:r>
              <w:rPr>
                <w:rFonts w:ascii="宋体" w:hAnsi="宋体"/>
                <w:kern w:val="0"/>
                <w:sz w:val="18"/>
                <w:szCs w:val="18"/>
              </w:rPr>
              <w:t>★BMC固件基础功能</w:t>
            </w:r>
          </w:p>
        </w:tc>
        <w:tc>
          <w:tcPr>
            <w:tcW w:w="8860" w:type="dxa"/>
            <w:tcBorders>
              <w:top w:val="nil"/>
              <w:left w:val="nil"/>
              <w:bottom w:val="single" w:color="auto" w:sz="4" w:space="0"/>
              <w:right w:val="single" w:color="auto" w:sz="4" w:space="0"/>
            </w:tcBorders>
            <w:vAlign w:val="center"/>
          </w:tcPr>
          <w:p w14:paraId="2437A5DE">
            <w:pPr>
              <w:widowControl/>
              <w:jc w:val="left"/>
              <w:rPr>
                <w:rFonts w:ascii="宋体" w:hAnsi="宋体"/>
                <w:kern w:val="0"/>
                <w:sz w:val="18"/>
                <w:szCs w:val="18"/>
              </w:rPr>
            </w:pPr>
            <w:r>
              <w:rPr>
                <w:rFonts w:ascii="宋体" w:hAnsi="宋体"/>
                <w:kern w:val="0"/>
                <w:sz w:val="18"/>
                <w:szCs w:val="18"/>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r>
      <w:tr w14:paraId="2341516B">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721B287C">
            <w:pPr>
              <w:widowControl/>
              <w:jc w:val="center"/>
              <w:rPr>
                <w:rFonts w:ascii="宋体" w:hAnsi="宋体"/>
                <w:kern w:val="0"/>
                <w:sz w:val="18"/>
                <w:szCs w:val="18"/>
              </w:rPr>
            </w:pPr>
            <w:r>
              <w:rPr>
                <w:rFonts w:ascii="宋体" w:hAnsi="宋体"/>
                <w:kern w:val="0"/>
                <w:sz w:val="18"/>
                <w:szCs w:val="18"/>
              </w:rPr>
              <w:t>65</w:t>
            </w:r>
          </w:p>
        </w:tc>
        <w:tc>
          <w:tcPr>
            <w:tcW w:w="1220" w:type="dxa"/>
            <w:tcBorders>
              <w:top w:val="nil"/>
              <w:left w:val="nil"/>
              <w:bottom w:val="single" w:color="auto" w:sz="4" w:space="0"/>
              <w:right w:val="single" w:color="auto" w:sz="4" w:space="0"/>
            </w:tcBorders>
            <w:vAlign w:val="center"/>
          </w:tcPr>
          <w:p w14:paraId="16ED1C21">
            <w:pPr>
              <w:widowControl/>
              <w:jc w:val="left"/>
              <w:rPr>
                <w:rFonts w:ascii="宋体" w:hAnsi="宋体"/>
                <w:kern w:val="0"/>
                <w:sz w:val="18"/>
                <w:szCs w:val="18"/>
              </w:rPr>
            </w:pPr>
            <w:r>
              <w:rPr>
                <w:rFonts w:ascii="宋体" w:hAnsi="宋体"/>
                <w:kern w:val="0"/>
                <w:sz w:val="18"/>
                <w:szCs w:val="18"/>
              </w:rPr>
              <w:t>功能要求</w:t>
            </w:r>
          </w:p>
        </w:tc>
        <w:tc>
          <w:tcPr>
            <w:tcW w:w="820" w:type="dxa"/>
            <w:tcBorders>
              <w:top w:val="nil"/>
              <w:left w:val="nil"/>
              <w:bottom w:val="single" w:color="auto" w:sz="4" w:space="0"/>
              <w:right w:val="single" w:color="auto" w:sz="4" w:space="0"/>
            </w:tcBorders>
            <w:vAlign w:val="center"/>
          </w:tcPr>
          <w:p w14:paraId="215CD3DD">
            <w:pPr>
              <w:widowControl/>
              <w:jc w:val="left"/>
              <w:rPr>
                <w:rFonts w:ascii="宋体" w:hAnsi="宋体"/>
                <w:kern w:val="0"/>
                <w:sz w:val="18"/>
                <w:szCs w:val="18"/>
              </w:rPr>
            </w:pPr>
            <w:r>
              <w:rPr>
                <w:rFonts w:ascii="宋体" w:hAnsi="宋体"/>
                <w:kern w:val="0"/>
                <w:sz w:val="18"/>
                <w:szCs w:val="18"/>
              </w:rPr>
              <w:t>　</w:t>
            </w:r>
          </w:p>
        </w:tc>
        <w:tc>
          <w:tcPr>
            <w:tcW w:w="1320" w:type="dxa"/>
            <w:tcBorders>
              <w:top w:val="nil"/>
              <w:left w:val="nil"/>
              <w:bottom w:val="single" w:color="auto" w:sz="4" w:space="0"/>
              <w:right w:val="single" w:color="auto" w:sz="4" w:space="0"/>
            </w:tcBorders>
            <w:vAlign w:val="center"/>
          </w:tcPr>
          <w:p w14:paraId="01388FC5">
            <w:pPr>
              <w:widowControl/>
              <w:jc w:val="left"/>
              <w:rPr>
                <w:rFonts w:ascii="宋体" w:hAnsi="宋体"/>
                <w:kern w:val="0"/>
                <w:sz w:val="18"/>
                <w:szCs w:val="18"/>
              </w:rPr>
            </w:pPr>
            <w:r>
              <w:rPr>
                <w:rFonts w:ascii="宋体" w:hAnsi="宋体"/>
                <w:kern w:val="0"/>
                <w:sz w:val="18"/>
                <w:szCs w:val="18"/>
              </w:rPr>
              <w:t>BMC固件增强功能</w:t>
            </w:r>
          </w:p>
        </w:tc>
        <w:tc>
          <w:tcPr>
            <w:tcW w:w="8860" w:type="dxa"/>
            <w:tcBorders>
              <w:top w:val="nil"/>
              <w:left w:val="nil"/>
              <w:bottom w:val="single" w:color="auto" w:sz="4" w:space="0"/>
              <w:right w:val="single" w:color="auto" w:sz="4" w:space="0"/>
            </w:tcBorders>
            <w:vAlign w:val="center"/>
          </w:tcPr>
          <w:p w14:paraId="71F01ACE">
            <w:pPr>
              <w:widowControl/>
              <w:jc w:val="left"/>
              <w:rPr>
                <w:rFonts w:ascii="宋体" w:hAnsi="宋体"/>
                <w:kern w:val="0"/>
                <w:sz w:val="18"/>
                <w:szCs w:val="18"/>
              </w:rPr>
            </w:pPr>
            <w:r>
              <w:rPr>
                <w:rFonts w:ascii="宋体" w:hAnsi="宋体"/>
                <w:kern w:val="0"/>
                <w:sz w:val="18"/>
                <w:szCs w:val="18"/>
              </w:rPr>
              <w:t>a）网络控制、安装提供图形访问界面网络；b）设备的BMC管理软件界面显示报警信息，且能够按报警的严重程度进行区分；c）WebGUI采用BMC端口直连，平均响应时间为不大于1s</w:t>
            </w:r>
          </w:p>
        </w:tc>
      </w:tr>
      <w:tr w14:paraId="362A1296">
        <w:tblPrEx>
          <w:tblCellMar>
            <w:top w:w="0" w:type="dxa"/>
            <w:left w:w="108" w:type="dxa"/>
            <w:bottom w:w="0" w:type="dxa"/>
            <w:right w:w="108" w:type="dxa"/>
          </w:tblCellMar>
        </w:tblPrEx>
        <w:trPr>
          <w:trHeight w:val="1620" w:hRule="atLeast"/>
        </w:trPr>
        <w:tc>
          <w:tcPr>
            <w:tcW w:w="480" w:type="dxa"/>
            <w:tcBorders>
              <w:top w:val="nil"/>
              <w:left w:val="single" w:color="auto" w:sz="4" w:space="0"/>
              <w:bottom w:val="single" w:color="auto" w:sz="4" w:space="0"/>
              <w:right w:val="single" w:color="auto" w:sz="4" w:space="0"/>
            </w:tcBorders>
            <w:vAlign w:val="center"/>
          </w:tcPr>
          <w:p w14:paraId="1BDD2933">
            <w:pPr>
              <w:widowControl/>
              <w:jc w:val="center"/>
              <w:rPr>
                <w:rFonts w:ascii="宋体" w:hAnsi="宋体"/>
                <w:kern w:val="0"/>
                <w:sz w:val="18"/>
                <w:szCs w:val="18"/>
              </w:rPr>
            </w:pPr>
            <w:r>
              <w:rPr>
                <w:rFonts w:ascii="宋体" w:hAnsi="宋体"/>
                <w:kern w:val="0"/>
                <w:sz w:val="18"/>
                <w:szCs w:val="18"/>
              </w:rPr>
              <w:t>66</w:t>
            </w:r>
          </w:p>
        </w:tc>
        <w:tc>
          <w:tcPr>
            <w:tcW w:w="1220" w:type="dxa"/>
            <w:tcBorders>
              <w:top w:val="nil"/>
              <w:left w:val="nil"/>
              <w:bottom w:val="single" w:color="auto" w:sz="4" w:space="0"/>
              <w:right w:val="single" w:color="auto" w:sz="4" w:space="0"/>
            </w:tcBorders>
            <w:vAlign w:val="center"/>
          </w:tcPr>
          <w:p w14:paraId="0E824D44">
            <w:pPr>
              <w:widowControl/>
              <w:jc w:val="left"/>
              <w:rPr>
                <w:rFonts w:ascii="宋体" w:hAnsi="宋体"/>
                <w:kern w:val="0"/>
                <w:sz w:val="18"/>
                <w:szCs w:val="18"/>
              </w:rPr>
            </w:pPr>
            <w:r>
              <w:rPr>
                <w:rFonts w:ascii="宋体" w:hAnsi="宋体"/>
                <w:kern w:val="0"/>
                <w:sz w:val="18"/>
                <w:szCs w:val="18"/>
              </w:rPr>
              <w:t>功能要求</w:t>
            </w:r>
          </w:p>
        </w:tc>
        <w:tc>
          <w:tcPr>
            <w:tcW w:w="820" w:type="dxa"/>
            <w:tcBorders>
              <w:top w:val="nil"/>
              <w:left w:val="nil"/>
              <w:bottom w:val="single" w:color="auto" w:sz="4" w:space="0"/>
              <w:right w:val="single" w:color="auto" w:sz="4" w:space="0"/>
            </w:tcBorders>
            <w:vAlign w:val="center"/>
          </w:tcPr>
          <w:p w14:paraId="37DAE4F9">
            <w:pPr>
              <w:widowControl/>
              <w:jc w:val="left"/>
              <w:rPr>
                <w:rFonts w:ascii="宋体" w:hAnsi="宋体"/>
                <w:kern w:val="0"/>
                <w:sz w:val="18"/>
                <w:szCs w:val="18"/>
              </w:rPr>
            </w:pPr>
            <w:r>
              <w:rPr>
                <w:rFonts w:ascii="宋体" w:hAnsi="宋体"/>
                <w:kern w:val="0"/>
                <w:sz w:val="18"/>
                <w:szCs w:val="18"/>
              </w:rPr>
              <w:t>　</w:t>
            </w:r>
          </w:p>
        </w:tc>
        <w:tc>
          <w:tcPr>
            <w:tcW w:w="1320" w:type="dxa"/>
            <w:tcBorders>
              <w:top w:val="nil"/>
              <w:left w:val="nil"/>
              <w:bottom w:val="single" w:color="auto" w:sz="4" w:space="0"/>
              <w:right w:val="single" w:color="auto" w:sz="4" w:space="0"/>
            </w:tcBorders>
            <w:vAlign w:val="center"/>
          </w:tcPr>
          <w:p w14:paraId="638EF1EE">
            <w:pPr>
              <w:widowControl/>
              <w:jc w:val="left"/>
              <w:rPr>
                <w:rFonts w:ascii="宋体" w:hAnsi="宋体"/>
                <w:kern w:val="0"/>
                <w:sz w:val="18"/>
                <w:szCs w:val="18"/>
              </w:rPr>
            </w:pPr>
            <w:r>
              <w:rPr>
                <w:rFonts w:ascii="宋体" w:hAnsi="宋体"/>
                <w:kern w:val="0"/>
                <w:sz w:val="18"/>
                <w:szCs w:val="18"/>
              </w:rPr>
              <w:t>★BIOS固件基础功能</w:t>
            </w:r>
          </w:p>
        </w:tc>
        <w:tc>
          <w:tcPr>
            <w:tcW w:w="8860" w:type="dxa"/>
            <w:tcBorders>
              <w:top w:val="nil"/>
              <w:left w:val="nil"/>
              <w:bottom w:val="single" w:color="auto" w:sz="4" w:space="0"/>
              <w:right w:val="single" w:color="auto" w:sz="4" w:space="0"/>
            </w:tcBorders>
            <w:vAlign w:val="center"/>
          </w:tcPr>
          <w:p w14:paraId="7DE4309E">
            <w:pPr>
              <w:widowControl/>
              <w:jc w:val="left"/>
              <w:rPr>
                <w:rFonts w:ascii="宋体" w:hAnsi="宋体"/>
                <w:kern w:val="0"/>
                <w:sz w:val="18"/>
                <w:szCs w:val="18"/>
              </w:rPr>
            </w:pPr>
            <w:r>
              <w:rPr>
                <w:rFonts w:ascii="宋体" w:hAnsi="宋体"/>
                <w:kern w:val="0"/>
                <w:sz w:val="18"/>
                <w:szCs w:val="18"/>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r>
      <w:tr w14:paraId="1A14B5A8">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0717E1A2">
            <w:pPr>
              <w:widowControl/>
              <w:jc w:val="center"/>
              <w:rPr>
                <w:rFonts w:ascii="宋体" w:hAnsi="宋体"/>
                <w:kern w:val="0"/>
                <w:sz w:val="18"/>
                <w:szCs w:val="18"/>
              </w:rPr>
            </w:pPr>
            <w:r>
              <w:rPr>
                <w:rFonts w:ascii="宋体" w:hAnsi="宋体"/>
                <w:kern w:val="0"/>
                <w:sz w:val="18"/>
                <w:szCs w:val="18"/>
              </w:rPr>
              <w:t>67</w:t>
            </w:r>
          </w:p>
        </w:tc>
        <w:tc>
          <w:tcPr>
            <w:tcW w:w="1220" w:type="dxa"/>
            <w:tcBorders>
              <w:top w:val="nil"/>
              <w:left w:val="nil"/>
              <w:bottom w:val="single" w:color="auto" w:sz="4" w:space="0"/>
              <w:right w:val="single" w:color="auto" w:sz="4" w:space="0"/>
            </w:tcBorders>
          </w:tcPr>
          <w:p w14:paraId="3A37AEDC">
            <w:pPr>
              <w:widowControl/>
              <w:jc w:val="left"/>
              <w:rPr>
                <w:rFonts w:ascii="宋体" w:hAnsi="宋体"/>
                <w:kern w:val="0"/>
                <w:sz w:val="18"/>
                <w:szCs w:val="18"/>
              </w:rPr>
            </w:pPr>
            <w:r>
              <w:rPr>
                <w:rFonts w:ascii="宋体" w:hAnsi="宋体"/>
                <w:kern w:val="0"/>
                <w:sz w:val="18"/>
                <w:szCs w:val="18"/>
              </w:rPr>
              <w:t>功能要求</w:t>
            </w:r>
          </w:p>
        </w:tc>
        <w:tc>
          <w:tcPr>
            <w:tcW w:w="820" w:type="dxa"/>
            <w:tcBorders>
              <w:top w:val="nil"/>
              <w:left w:val="nil"/>
              <w:bottom w:val="single" w:color="auto" w:sz="4" w:space="0"/>
              <w:right w:val="single" w:color="auto" w:sz="4" w:space="0"/>
            </w:tcBorders>
            <w:vAlign w:val="center"/>
          </w:tcPr>
          <w:p w14:paraId="053C11CE">
            <w:pPr>
              <w:widowControl/>
              <w:jc w:val="left"/>
              <w:rPr>
                <w:rFonts w:ascii="宋体" w:hAnsi="宋体"/>
                <w:kern w:val="0"/>
                <w:sz w:val="18"/>
                <w:szCs w:val="18"/>
              </w:rPr>
            </w:pPr>
            <w:r>
              <w:rPr>
                <w:rFonts w:ascii="宋体" w:hAnsi="宋体"/>
                <w:kern w:val="0"/>
                <w:sz w:val="18"/>
                <w:szCs w:val="18"/>
              </w:rPr>
              <w:t>　</w:t>
            </w:r>
          </w:p>
        </w:tc>
        <w:tc>
          <w:tcPr>
            <w:tcW w:w="1320" w:type="dxa"/>
            <w:tcBorders>
              <w:top w:val="nil"/>
              <w:left w:val="nil"/>
              <w:bottom w:val="single" w:color="auto" w:sz="4" w:space="0"/>
              <w:right w:val="single" w:color="auto" w:sz="4" w:space="0"/>
            </w:tcBorders>
            <w:vAlign w:val="center"/>
          </w:tcPr>
          <w:p w14:paraId="6C83C42E">
            <w:pPr>
              <w:widowControl/>
              <w:jc w:val="left"/>
              <w:rPr>
                <w:rFonts w:ascii="宋体" w:hAnsi="宋体"/>
                <w:kern w:val="0"/>
                <w:sz w:val="18"/>
                <w:szCs w:val="18"/>
              </w:rPr>
            </w:pPr>
            <w:r>
              <w:rPr>
                <w:rFonts w:ascii="宋体" w:hAnsi="宋体"/>
                <w:kern w:val="0"/>
                <w:sz w:val="18"/>
                <w:szCs w:val="18"/>
              </w:rPr>
              <w:t>★远程控制</w:t>
            </w:r>
          </w:p>
        </w:tc>
        <w:tc>
          <w:tcPr>
            <w:tcW w:w="8860" w:type="dxa"/>
            <w:tcBorders>
              <w:top w:val="nil"/>
              <w:left w:val="nil"/>
              <w:bottom w:val="single" w:color="auto" w:sz="4" w:space="0"/>
              <w:right w:val="single" w:color="auto" w:sz="4" w:space="0"/>
            </w:tcBorders>
            <w:vAlign w:val="center"/>
          </w:tcPr>
          <w:p w14:paraId="160A0955">
            <w:pPr>
              <w:widowControl/>
              <w:jc w:val="left"/>
              <w:rPr>
                <w:rFonts w:ascii="宋体" w:hAnsi="宋体"/>
                <w:kern w:val="0"/>
                <w:sz w:val="18"/>
                <w:szCs w:val="18"/>
              </w:rPr>
            </w:pPr>
            <w:r>
              <w:rPr>
                <w:rFonts w:ascii="宋体" w:hAnsi="宋体"/>
                <w:kern w:val="0"/>
                <w:sz w:val="18"/>
                <w:szCs w:val="18"/>
              </w:rPr>
              <w:t>支持远程关机和重新启动功能</w:t>
            </w:r>
          </w:p>
        </w:tc>
      </w:tr>
      <w:tr w14:paraId="33CCAEC0">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2789B537">
            <w:pPr>
              <w:widowControl/>
              <w:jc w:val="center"/>
              <w:rPr>
                <w:rFonts w:ascii="宋体" w:hAnsi="宋体"/>
                <w:kern w:val="0"/>
                <w:sz w:val="18"/>
                <w:szCs w:val="18"/>
              </w:rPr>
            </w:pPr>
            <w:r>
              <w:rPr>
                <w:rFonts w:ascii="宋体" w:hAnsi="宋体"/>
                <w:kern w:val="0"/>
                <w:sz w:val="18"/>
                <w:szCs w:val="18"/>
              </w:rPr>
              <w:t>68</w:t>
            </w:r>
          </w:p>
        </w:tc>
        <w:tc>
          <w:tcPr>
            <w:tcW w:w="1220" w:type="dxa"/>
            <w:tcBorders>
              <w:top w:val="nil"/>
              <w:left w:val="nil"/>
              <w:bottom w:val="single" w:color="auto" w:sz="4" w:space="0"/>
              <w:right w:val="single" w:color="auto" w:sz="4" w:space="0"/>
            </w:tcBorders>
          </w:tcPr>
          <w:p w14:paraId="68F9C7E2">
            <w:pPr>
              <w:widowControl/>
              <w:jc w:val="left"/>
              <w:rPr>
                <w:rFonts w:ascii="宋体" w:hAnsi="宋体"/>
                <w:kern w:val="0"/>
                <w:sz w:val="18"/>
                <w:szCs w:val="18"/>
              </w:rPr>
            </w:pPr>
            <w:r>
              <w:rPr>
                <w:rFonts w:ascii="宋体" w:hAnsi="宋体"/>
                <w:kern w:val="0"/>
                <w:sz w:val="18"/>
                <w:szCs w:val="18"/>
              </w:rPr>
              <w:t>功能要求</w:t>
            </w:r>
          </w:p>
        </w:tc>
        <w:tc>
          <w:tcPr>
            <w:tcW w:w="820" w:type="dxa"/>
            <w:vMerge w:val="restart"/>
            <w:tcBorders>
              <w:top w:val="nil"/>
              <w:left w:val="single" w:color="auto" w:sz="4" w:space="0"/>
              <w:bottom w:val="single" w:color="auto" w:sz="4" w:space="0"/>
              <w:right w:val="single" w:color="auto" w:sz="4" w:space="0"/>
            </w:tcBorders>
            <w:vAlign w:val="center"/>
          </w:tcPr>
          <w:p w14:paraId="51761F30">
            <w:pPr>
              <w:widowControl/>
              <w:jc w:val="center"/>
              <w:rPr>
                <w:rFonts w:ascii="宋体" w:hAnsi="宋体"/>
                <w:kern w:val="0"/>
                <w:sz w:val="18"/>
                <w:szCs w:val="18"/>
              </w:rPr>
            </w:pPr>
            <w:r>
              <w:rPr>
                <w:rFonts w:ascii="宋体" w:hAnsi="宋体"/>
                <w:kern w:val="0"/>
                <w:sz w:val="18"/>
                <w:szCs w:val="18"/>
              </w:rPr>
              <w:t>操作系统及驱动功能</w:t>
            </w:r>
          </w:p>
        </w:tc>
        <w:tc>
          <w:tcPr>
            <w:tcW w:w="1320" w:type="dxa"/>
            <w:tcBorders>
              <w:top w:val="nil"/>
              <w:left w:val="nil"/>
              <w:bottom w:val="single" w:color="auto" w:sz="4" w:space="0"/>
              <w:right w:val="single" w:color="auto" w:sz="4" w:space="0"/>
            </w:tcBorders>
            <w:vAlign w:val="center"/>
          </w:tcPr>
          <w:p w14:paraId="3B975878">
            <w:pPr>
              <w:widowControl/>
              <w:jc w:val="left"/>
              <w:rPr>
                <w:rFonts w:ascii="宋体" w:hAnsi="宋体"/>
                <w:kern w:val="0"/>
                <w:sz w:val="18"/>
                <w:szCs w:val="18"/>
              </w:rPr>
            </w:pPr>
            <w:r>
              <w:rPr>
                <w:rFonts w:ascii="宋体" w:hAnsi="宋体"/>
                <w:kern w:val="0"/>
                <w:sz w:val="18"/>
                <w:szCs w:val="18"/>
              </w:rPr>
              <w:t>★操作系统及驱动的升级</w:t>
            </w:r>
          </w:p>
        </w:tc>
        <w:tc>
          <w:tcPr>
            <w:tcW w:w="8860" w:type="dxa"/>
            <w:tcBorders>
              <w:top w:val="nil"/>
              <w:left w:val="nil"/>
              <w:bottom w:val="single" w:color="auto" w:sz="4" w:space="0"/>
              <w:right w:val="single" w:color="auto" w:sz="4" w:space="0"/>
            </w:tcBorders>
            <w:vAlign w:val="center"/>
          </w:tcPr>
          <w:p w14:paraId="3829B9E1">
            <w:pPr>
              <w:widowControl/>
              <w:jc w:val="left"/>
              <w:rPr>
                <w:rFonts w:ascii="宋体" w:hAnsi="宋体"/>
                <w:kern w:val="0"/>
                <w:sz w:val="18"/>
                <w:szCs w:val="18"/>
              </w:rPr>
            </w:pPr>
            <w:r>
              <w:rPr>
                <w:rFonts w:ascii="宋体" w:hAnsi="宋体"/>
                <w:kern w:val="0"/>
                <w:sz w:val="18"/>
                <w:szCs w:val="18"/>
              </w:rPr>
              <w:t>支持通过网络、闪存盘对操作系统、驱动进行升级</w:t>
            </w:r>
          </w:p>
        </w:tc>
      </w:tr>
      <w:tr w14:paraId="5347FB95">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4E58D690">
            <w:pPr>
              <w:widowControl/>
              <w:jc w:val="center"/>
              <w:rPr>
                <w:rFonts w:ascii="宋体" w:hAnsi="宋体"/>
                <w:kern w:val="0"/>
                <w:sz w:val="18"/>
                <w:szCs w:val="18"/>
              </w:rPr>
            </w:pPr>
            <w:r>
              <w:rPr>
                <w:rFonts w:ascii="宋体" w:hAnsi="宋体"/>
                <w:kern w:val="0"/>
                <w:sz w:val="18"/>
                <w:szCs w:val="18"/>
              </w:rPr>
              <w:t>69</w:t>
            </w:r>
          </w:p>
        </w:tc>
        <w:tc>
          <w:tcPr>
            <w:tcW w:w="1220" w:type="dxa"/>
            <w:tcBorders>
              <w:top w:val="nil"/>
              <w:left w:val="nil"/>
              <w:bottom w:val="single" w:color="auto" w:sz="4" w:space="0"/>
              <w:right w:val="single" w:color="auto" w:sz="4" w:space="0"/>
            </w:tcBorders>
          </w:tcPr>
          <w:p w14:paraId="412C31D9">
            <w:pPr>
              <w:widowControl/>
              <w:jc w:val="left"/>
              <w:rPr>
                <w:rFonts w:ascii="宋体" w:hAnsi="宋体"/>
                <w:kern w:val="0"/>
                <w:sz w:val="18"/>
                <w:szCs w:val="18"/>
              </w:rPr>
            </w:pPr>
            <w:r>
              <w:rPr>
                <w:rFonts w:ascii="宋体" w:hAnsi="宋体"/>
                <w:kern w:val="0"/>
                <w:sz w:val="18"/>
                <w:szCs w:val="18"/>
              </w:rPr>
              <w:t>功能要求</w:t>
            </w:r>
          </w:p>
        </w:tc>
        <w:tc>
          <w:tcPr>
            <w:tcW w:w="820" w:type="dxa"/>
            <w:vMerge w:val="continue"/>
            <w:tcBorders>
              <w:top w:val="nil"/>
              <w:left w:val="single" w:color="auto" w:sz="4" w:space="0"/>
              <w:bottom w:val="single" w:color="auto" w:sz="4" w:space="0"/>
              <w:right w:val="single" w:color="auto" w:sz="4" w:space="0"/>
            </w:tcBorders>
            <w:vAlign w:val="center"/>
          </w:tcPr>
          <w:p w14:paraId="57811C03">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0F1C7230">
            <w:pPr>
              <w:widowControl/>
              <w:jc w:val="left"/>
              <w:rPr>
                <w:rFonts w:ascii="宋体" w:hAnsi="宋体"/>
                <w:kern w:val="0"/>
                <w:sz w:val="18"/>
                <w:szCs w:val="18"/>
              </w:rPr>
            </w:pPr>
            <w:r>
              <w:rPr>
                <w:rFonts w:ascii="宋体" w:hAnsi="宋体"/>
                <w:kern w:val="0"/>
                <w:sz w:val="18"/>
                <w:szCs w:val="18"/>
              </w:rPr>
              <w:t>操作系统及驱动的备份还原</w:t>
            </w:r>
          </w:p>
        </w:tc>
        <w:tc>
          <w:tcPr>
            <w:tcW w:w="8860" w:type="dxa"/>
            <w:tcBorders>
              <w:top w:val="nil"/>
              <w:left w:val="nil"/>
              <w:bottom w:val="single" w:color="auto" w:sz="4" w:space="0"/>
              <w:right w:val="single" w:color="auto" w:sz="4" w:space="0"/>
            </w:tcBorders>
            <w:vAlign w:val="center"/>
          </w:tcPr>
          <w:p w14:paraId="51555FC5">
            <w:pPr>
              <w:widowControl/>
              <w:jc w:val="left"/>
              <w:rPr>
                <w:rFonts w:ascii="宋体" w:hAnsi="宋体"/>
                <w:kern w:val="0"/>
                <w:sz w:val="18"/>
                <w:szCs w:val="18"/>
              </w:rPr>
            </w:pPr>
            <w:r>
              <w:rPr>
                <w:rFonts w:ascii="宋体" w:hAnsi="宋体"/>
                <w:kern w:val="0"/>
                <w:sz w:val="18"/>
                <w:szCs w:val="18"/>
              </w:rPr>
              <w:t>支持操作系统备份及还原功能</w:t>
            </w:r>
          </w:p>
        </w:tc>
      </w:tr>
      <w:tr w14:paraId="4113B83F">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0B8B5601">
            <w:pPr>
              <w:widowControl/>
              <w:jc w:val="center"/>
              <w:rPr>
                <w:rFonts w:ascii="宋体" w:hAnsi="宋体"/>
                <w:kern w:val="0"/>
                <w:sz w:val="18"/>
                <w:szCs w:val="18"/>
              </w:rPr>
            </w:pPr>
            <w:r>
              <w:rPr>
                <w:rFonts w:ascii="宋体" w:hAnsi="宋体"/>
                <w:kern w:val="0"/>
                <w:sz w:val="18"/>
                <w:szCs w:val="18"/>
              </w:rPr>
              <w:t>70</w:t>
            </w:r>
          </w:p>
        </w:tc>
        <w:tc>
          <w:tcPr>
            <w:tcW w:w="1220" w:type="dxa"/>
            <w:tcBorders>
              <w:top w:val="nil"/>
              <w:left w:val="nil"/>
              <w:bottom w:val="single" w:color="auto" w:sz="4" w:space="0"/>
              <w:right w:val="single" w:color="auto" w:sz="4" w:space="0"/>
            </w:tcBorders>
            <w:vAlign w:val="center"/>
          </w:tcPr>
          <w:p w14:paraId="7B6F13CA">
            <w:pPr>
              <w:widowControl/>
              <w:jc w:val="left"/>
              <w:rPr>
                <w:rFonts w:ascii="宋体" w:hAnsi="宋体"/>
                <w:kern w:val="0"/>
                <w:sz w:val="18"/>
                <w:szCs w:val="18"/>
              </w:rPr>
            </w:pPr>
            <w:r>
              <w:rPr>
                <w:rFonts w:ascii="宋体" w:hAnsi="宋体"/>
                <w:kern w:val="0"/>
                <w:sz w:val="18"/>
                <w:szCs w:val="18"/>
              </w:rPr>
              <w:t>功能要求</w:t>
            </w:r>
          </w:p>
        </w:tc>
        <w:tc>
          <w:tcPr>
            <w:tcW w:w="820" w:type="dxa"/>
            <w:vMerge w:val="continue"/>
            <w:tcBorders>
              <w:top w:val="nil"/>
              <w:left w:val="single" w:color="auto" w:sz="4" w:space="0"/>
              <w:bottom w:val="single" w:color="auto" w:sz="4" w:space="0"/>
              <w:right w:val="single" w:color="auto" w:sz="4" w:space="0"/>
            </w:tcBorders>
            <w:vAlign w:val="center"/>
          </w:tcPr>
          <w:p w14:paraId="6F572BC2">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7E36A995">
            <w:pPr>
              <w:widowControl/>
              <w:jc w:val="left"/>
              <w:rPr>
                <w:rFonts w:ascii="宋体" w:hAnsi="宋体"/>
                <w:kern w:val="0"/>
                <w:sz w:val="18"/>
                <w:szCs w:val="18"/>
              </w:rPr>
            </w:pPr>
            <w:r>
              <w:rPr>
                <w:rFonts w:ascii="宋体" w:hAnsi="宋体"/>
                <w:kern w:val="0"/>
                <w:sz w:val="18"/>
                <w:szCs w:val="18"/>
              </w:rPr>
              <w:t>★操作系统功能</w:t>
            </w:r>
          </w:p>
        </w:tc>
        <w:tc>
          <w:tcPr>
            <w:tcW w:w="8860" w:type="dxa"/>
            <w:tcBorders>
              <w:top w:val="nil"/>
              <w:left w:val="nil"/>
              <w:bottom w:val="single" w:color="auto" w:sz="4" w:space="0"/>
              <w:right w:val="single" w:color="auto" w:sz="4" w:space="0"/>
            </w:tcBorders>
            <w:vAlign w:val="center"/>
          </w:tcPr>
          <w:p w14:paraId="1214BFEE">
            <w:pPr>
              <w:widowControl/>
              <w:jc w:val="left"/>
              <w:rPr>
                <w:rFonts w:ascii="宋体" w:hAnsi="宋体"/>
                <w:kern w:val="0"/>
                <w:sz w:val="18"/>
                <w:szCs w:val="18"/>
              </w:rPr>
            </w:pPr>
            <w:r>
              <w:rPr>
                <w:rFonts w:ascii="宋体" w:hAnsi="宋体"/>
                <w:kern w:val="0"/>
                <w:sz w:val="18"/>
                <w:szCs w:val="18"/>
              </w:rPr>
              <w:t>a)支持访问控制、安全审计、网络接入鉴别等功能；b)操作系统其他功能应满足操作系统政府采购需求标准中加*的指标要求</w:t>
            </w:r>
          </w:p>
        </w:tc>
      </w:tr>
      <w:tr w14:paraId="4ACCCDC4">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2C9017DD">
            <w:pPr>
              <w:widowControl/>
              <w:jc w:val="center"/>
              <w:rPr>
                <w:rFonts w:ascii="宋体" w:hAnsi="宋体"/>
                <w:kern w:val="0"/>
                <w:sz w:val="18"/>
                <w:szCs w:val="18"/>
              </w:rPr>
            </w:pPr>
            <w:r>
              <w:rPr>
                <w:rFonts w:ascii="宋体" w:hAnsi="宋体"/>
                <w:kern w:val="0"/>
                <w:sz w:val="18"/>
                <w:szCs w:val="18"/>
              </w:rPr>
              <w:t>71</w:t>
            </w:r>
          </w:p>
        </w:tc>
        <w:tc>
          <w:tcPr>
            <w:tcW w:w="1220" w:type="dxa"/>
            <w:tcBorders>
              <w:top w:val="nil"/>
              <w:left w:val="nil"/>
              <w:bottom w:val="single" w:color="auto" w:sz="4" w:space="0"/>
              <w:right w:val="single" w:color="auto" w:sz="4" w:space="0"/>
            </w:tcBorders>
            <w:vAlign w:val="center"/>
          </w:tcPr>
          <w:p w14:paraId="2EF03DFF">
            <w:pPr>
              <w:widowControl/>
              <w:jc w:val="left"/>
              <w:rPr>
                <w:rFonts w:ascii="宋体" w:hAnsi="宋体"/>
                <w:kern w:val="0"/>
                <w:sz w:val="18"/>
                <w:szCs w:val="18"/>
              </w:rPr>
            </w:pPr>
            <w:r>
              <w:rPr>
                <w:rFonts w:ascii="宋体" w:hAnsi="宋体"/>
                <w:kern w:val="0"/>
                <w:sz w:val="18"/>
                <w:szCs w:val="18"/>
              </w:rPr>
              <w:t>功能要求</w:t>
            </w:r>
          </w:p>
        </w:tc>
        <w:tc>
          <w:tcPr>
            <w:tcW w:w="820" w:type="dxa"/>
            <w:tcBorders>
              <w:top w:val="nil"/>
              <w:left w:val="nil"/>
              <w:bottom w:val="single" w:color="auto" w:sz="4" w:space="0"/>
              <w:right w:val="single" w:color="auto" w:sz="4" w:space="0"/>
            </w:tcBorders>
            <w:vAlign w:val="center"/>
          </w:tcPr>
          <w:p w14:paraId="518728C4">
            <w:pPr>
              <w:widowControl/>
              <w:jc w:val="center"/>
              <w:rPr>
                <w:rFonts w:ascii="宋体" w:hAnsi="宋体"/>
                <w:kern w:val="0"/>
                <w:sz w:val="18"/>
                <w:szCs w:val="18"/>
              </w:rPr>
            </w:pPr>
            <w:r>
              <w:rPr>
                <w:rFonts w:ascii="宋体" w:hAnsi="宋体"/>
                <w:kern w:val="0"/>
                <w:sz w:val="18"/>
                <w:szCs w:val="18"/>
              </w:rPr>
              <w:t>中文信息处理功能</w:t>
            </w:r>
          </w:p>
        </w:tc>
        <w:tc>
          <w:tcPr>
            <w:tcW w:w="1320" w:type="dxa"/>
            <w:tcBorders>
              <w:top w:val="nil"/>
              <w:left w:val="nil"/>
              <w:bottom w:val="single" w:color="auto" w:sz="4" w:space="0"/>
              <w:right w:val="single" w:color="auto" w:sz="4" w:space="0"/>
            </w:tcBorders>
            <w:vAlign w:val="center"/>
          </w:tcPr>
          <w:p w14:paraId="4933CBD5">
            <w:pPr>
              <w:widowControl/>
              <w:jc w:val="left"/>
              <w:rPr>
                <w:rFonts w:ascii="宋体" w:hAnsi="宋体"/>
                <w:kern w:val="0"/>
                <w:sz w:val="18"/>
                <w:szCs w:val="18"/>
              </w:rPr>
            </w:pPr>
            <w:r>
              <w:rPr>
                <w:rFonts w:ascii="宋体" w:hAnsi="宋体"/>
                <w:kern w:val="0"/>
                <w:sz w:val="18"/>
                <w:szCs w:val="18"/>
              </w:rPr>
              <w:t>★中文信息处理</w:t>
            </w:r>
          </w:p>
        </w:tc>
        <w:tc>
          <w:tcPr>
            <w:tcW w:w="8860" w:type="dxa"/>
            <w:tcBorders>
              <w:top w:val="nil"/>
              <w:left w:val="nil"/>
              <w:bottom w:val="single" w:color="auto" w:sz="4" w:space="0"/>
              <w:right w:val="single" w:color="auto" w:sz="4" w:space="0"/>
            </w:tcBorders>
            <w:vAlign w:val="center"/>
          </w:tcPr>
          <w:p w14:paraId="631F820B">
            <w:pPr>
              <w:widowControl/>
              <w:jc w:val="left"/>
              <w:rPr>
                <w:rFonts w:ascii="宋体" w:hAnsi="宋体"/>
                <w:kern w:val="0"/>
                <w:sz w:val="18"/>
                <w:szCs w:val="18"/>
              </w:rPr>
            </w:pPr>
            <w:r>
              <w:rPr>
                <w:rFonts w:ascii="宋体" w:hAnsi="宋体"/>
                <w:kern w:val="0"/>
                <w:sz w:val="18"/>
                <w:szCs w:val="18"/>
              </w:rPr>
              <w:t>符合GB18030的有关规定</w:t>
            </w:r>
          </w:p>
        </w:tc>
      </w:tr>
      <w:tr w14:paraId="488CB73B">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2DFEB604">
            <w:pPr>
              <w:widowControl/>
              <w:jc w:val="center"/>
              <w:rPr>
                <w:rFonts w:ascii="宋体" w:hAnsi="宋体"/>
                <w:kern w:val="0"/>
                <w:sz w:val="18"/>
                <w:szCs w:val="18"/>
              </w:rPr>
            </w:pPr>
            <w:r>
              <w:rPr>
                <w:rFonts w:ascii="宋体" w:hAnsi="宋体"/>
                <w:kern w:val="0"/>
                <w:sz w:val="18"/>
                <w:szCs w:val="18"/>
              </w:rPr>
              <w:t>72</w:t>
            </w:r>
          </w:p>
        </w:tc>
        <w:tc>
          <w:tcPr>
            <w:tcW w:w="1220" w:type="dxa"/>
            <w:tcBorders>
              <w:top w:val="nil"/>
              <w:left w:val="nil"/>
              <w:bottom w:val="single" w:color="auto" w:sz="4" w:space="0"/>
              <w:right w:val="single" w:color="auto" w:sz="4" w:space="0"/>
            </w:tcBorders>
          </w:tcPr>
          <w:p w14:paraId="1F997AD1">
            <w:pPr>
              <w:widowControl/>
              <w:jc w:val="left"/>
              <w:rPr>
                <w:rFonts w:ascii="宋体" w:hAnsi="宋体"/>
                <w:kern w:val="0"/>
                <w:sz w:val="18"/>
                <w:szCs w:val="18"/>
              </w:rPr>
            </w:pPr>
            <w:r>
              <w:rPr>
                <w:rFonts w:ascii="宋体" w:hAnsi="宋体"/>
                <w:kern w:val="0"/>
                <w:sz w:val="18"/>
                <w:szCs w:val="18"/>
              </w:rPr>
              <w:t>功能要求</w:t>
            </w:r>
          </w:p>
        </w:tc>
        <w:tc>
          <w:tcPr>
            <w:tcW w:w="820" w:type="dxa"/>
            <w:vMerge w:val="restart"/>
            <w:tcBorders>
              <w:top w:val="nil"/>
              <w:left w:val="single" w:color="auto" w:sz="4" w:space="0"/>
              <w:bottom w:val="single" w:color="auto" w:sz="4" w:space="0"/>
              <w:right w:val="single" w:color="auto" w:sz="4" w:space="0"/>
            </w:tcBorders>
            <w:vAlign w:val="center"/>
          </w:tcPr>
          <w:p w14:paraId="5E0962B7">
            <w:pPr>
              <w:widowControl/>
              <w:jc w:val="center"/>
              <w:rPr>
                <w:rFonts w:ascii="宋体" w:hAnsi="宋体"/>
                <w:kern w:val="0"/>
                <w:sz w:val="18"/>
                <w:szCs w:val="18"/>
              </w:rPr>
            </w:pPr>
            <w:r>
              <w:rPr>
                <w:rFonts w:ascii="宋体" w:hAnsi="宋体"/>
                <w:kern w:val="0"/>
                <w:sz w:val="18"/>
                <w:szCs w:val="18"/>
              </w:rPr>
              <w:t>机柜功能</w:t>
            </w:r>
          </w:p>
        </w:tc>
        <w:tc>
          <w:tcPr>
            <w:tcW w:w="1320" w:type="dxa"/>
            <w:tcBorders>
              <w:top w:val="nil"/>
              <w:left w:val="nil"/>
              <w:bottom w:val="single" w:color="auto" w:sz="4" w:space="0"/>
              <w:right w:val="single" w:color="auto" w:sz="4" w:space="0"/>
            </w:tcBorders>
            <w:vAlign w:val="center"/>
          </w:tcPr>
          <w:p w14:paraId="291CE890">
            <w:pPr>
              <w:widowControl/>
              <w:jc w:val="left"/>
              <w:rPr>
                <w:rFonts w:ascii="宋体" w:hAnsi="宋体"/>
                <w:kern w:val="0"/>
                <w:sz w:val="18"/>
                <w:szCs w:val="18"/>
              </w:rPr>
            </w:pPr>
            <w:r>
              <w:rPr>
                <w:rFonts w:ascii="宋体" w:hAnsi="宋体"/>
                <w:kern w:val="0"/>
                <w:sz w:val="18"/>
                <w:szCs w:val="18"/>
              </w:rPr>
              <w:t>机柜管理功能</w:t>
            </w:r>
          </w:p>
        </w:tc>
        <w:tc>
          <w:tcPr>
            <w:tcW w:w="8860" w:type="dxa"/>
            <w:tcBorders>
              <w:top w:val="nil"/>
              <w:left w:val="nil"/>
              <w:bottom w:val="single" w:color="auto" w:sz="4" w:space="0"/>
              <w:right w:val="single" w:color="auto" w:sz="4" w:space="0"/>
            </w:tcBorders>
            <w:vAlign w:val="center"/>
          </w:tcPr>
          <w:p w14:paraId="5512AD3C">
            <w:pPr>
              <w:widowControl/>
              <w:jc w:val="left"/>
              <w:rPr>
                <w:rFonts w:ascii="宋体" w:hAnsi="宋体"/>
                <w:kern w:val="0"/>
                <w:sz w:val="18"/>
                <w:szCs w:val="18"/>
              </w:rPr>
            </w:pPr>
            <w:r>
              <w:rPr>
                <w:rFonts w:ascii="宋体" w:hAnsi="宋体"/>
                <w:kern w:val="0"/>
                <w:sz w:val="18"/>
                <w:szCs w:val="18"/>
              </w:rPr>
              <w:t>机柜管理系统包括服务器节点BMC管理系统、机柜管理系统或交换节点管理系统</w:t>
            </w:r>
          </w:p>
        </w:tc>
      </w:tr>
      <w:tr w14:paraId="08E5C5E9">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595E2381">
            <w:pPr>
              <w:widowControl/>
              <w:jc w:val="center"/>
              <w:rPr>
                <w:rFonts w:ascii="宋体" w:hAnsi="宋体"/>
                <w:kern w:val="0"/>
                <w:sz w:val="18"/>
                <w:szCs w:val="18"/>
              </w:rPr>
            </w:pPr>
            <w:r>
              <w:rPr>
                <w:rFonts w:ascii="宋体" w:hAnsi="宋体"/>
                <w:kern w:val="0"/>
                <w:sz w:val="18"/>
                <w:szCs w:val="18"/>
              </w:rPr>
              <w:t>73</w:t>
            </w:r>
          </w:p>
        </w:tc>
        <w:tc>
          <w:tcPr>
            <w:tcW w:w="1220" w:type="dxa"/>
            <w:tcBorders>
              <w:top w:val="nil"/>
              <w:left w:val="nil"/>
              <w:bottom w:val="single" w:color="auto" w:sz="4" w:space="0"/>
              <w:right w:val="single" w:color="auto" w:sz="4" w:space="0"/>
            </w:tcBorders>
          </w:tcPr>
          <w:p w14:paraId="0B84FA3C">
            <w:pPr>
              <w:widowControl/>
              <w:jc w:val="left"/>
              <w:rPr>
                <w:rFonts w:ascii="宋体" w:hAnsi="宋体"/>
                <w:kern w:val="0"/>
                <w:sz w:val="18"/>
                <w:szCs w:val="18"/>
              </w:rPr>
            </w:pPr>
            <w:r>
              <w:rPr>
                <w:rFonts w:ascii="宋体" w:hAnsi="宋体"/>
                <w:kern w:val="0"/>
                <w:sz w:val="18"/>
                <w:szCs w:val="18"/>
              </w:rPr>
              <w:t>功能要求</w:t>
            </w:r>
          </w:p>
        </w:tc>
        <w:tc>
          <w:tcPr>
            <w:tcW w:w="820" w:type="dxa"/>
            <w:vMerge w:val="continue"/>
            <w:tcBorders>
              <w:top w:val="nil"/>
              <w:left w:val="single" w:color="auto" w:sz="4" w:space="0"/>
              <w:bottom w:val="single" w:color="auto" w:sz="4" w:space="0"/>
              <w:right w:val="single" w:color="auto" w:sz="4" w:space="0"/>
            </w:tcBorders>
            <w:vAlign w:val="center"/>
          </w:tcPr>
          <w:p w14:paraId="078098A2">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6B6C213E">
            <w:pPr>
              <w:widowControl/>
              <w:jc w:val="left"/>
              <w:rPr>
                <w:rFonts w:ascii="宋体" w:hAnsi="宋体"/>
                <w:kern w:val="0"/>
                <w:sz w:val="18"/>
                <w:szCs w:val="18"/>
              </w:rPr>
            </w:pPr>
            <w:r>
              <w:rPr>
                <w:rFonts w:ascii="宋体" w:hAnsi="宋体"/>
                <w:kern w:val="0"/>
                <w:sz w:val="18"/>
                <w:szCs w:val="18"/>
              </w:rPr>
              <w:t>机柜通信方式</w:t>
            </w:r>
          </w:p>
        </w:tc>
        <w:tc>
          <w:tcPr>
            <w:tcW w:w="8860" w:type="dxa"/>
            <w:tcBorders>
              <w:top w:val="nil"/>
              <w:left w:val="nil"/>
              <w:bottom w:val="single" w:color="auto" w:sz="4" w:space="0"/>
              <w:right w:val="single" w:color="auto" w:sz="4" w:space="0"/>
            </w:tcBorders>
            <w:vAlign w:val="center"/>
          </w:tcPr>
          <w:p w14:paraId="2E442FAD">
            <w:pPr>
              <w:widowControl/>
              <w:jc w:val="left"/>
              <w:rPr>
                <w:rFonts w:ascii="宋体" w:hAnsi="宋体"/>
                <w:kern w:val="0"/>
                <w:sz w:val="18"/>
                <w:szCs w:val="18"/>
              </w:rPr>
            </w:pPr>
            <w:r>
              <w:rPr>
                <w:rFonts w:ascii="宋体" w:hAnsi="宋体"/>
                <w:kern w:val="0"/>
                <w:sz w:val="18"/>
                <w:szCs w:val="18"/>
              </w:rPr>
              <w:t>若配备机柜管理板可实现包括：资产管理、电源模块、功耗管理和液冷漏液检测等功能</w:t>
            </w:r>
          </w:p>
        </w:tc>
      </w:tr>
      <w:tr w14:paraId="397A71DC">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71E628C0">
            <w:pPr>
              <w:widowControl/>
              <w:jc w:val="center"/>
              <w:rPr>
                <w:rFonts w:ascii="宋体" w:hAnsi="宋体"/>
                <w:kern w:val="0"/>
                <w:sz w:val="18"/>
                <w:szCs w:val="18"/>
              </w:rPr>
            </w:pPr>
            <w:r>
              <w:rPr>
                <w:rFonts w:ascii="宋体" w:hAnsi="宋体"/>
                <w:kern w:val="0"/>
                <w:sz w:val="18"/>
                <w:szCs w:val="18"/>
              </w:rPr>
              <w:t>74</w:t>
            </w:r>
          </w:p>
        </w:tc>
        <w:tc>
          <w:tcPr>
            <w:tcW w:w="1220" w:type="dxa"/>
            <w:tcBorders>
              <w:top w:val="nil"/>
              <w:left w:val="nil"/>
              <w:bottom w:val="single" w:color="auto" w:sz="4" w:space="0"/>
              <w:right w:val="single" w:color="auto" w:sz="4" w:space="0"/>
            </w:tcBorders>
          </w:tcPr>
          <w:p w14:paraId="25B634EE">
            <w:pPr>
              <w:widowControl/>
              <w:jc w:val="left"/>
              <w:rPr>
                <w:rFonts w:ascii="宋体" w:hAnsi="宋体"/>
                <w:kern w:val="0"/>
                <w:sz w:val="18"/>
                <w:szCs w:val="18"/>
              </w:rPr>
            </w:pPr>
            <w:r>
              <w:rPr>
                <w:rFonts w:ascii="宋体" w:hAnsi="宋体"/>
                <w:kern w:val="0"/>
                <w:sz w:val="18"/>
                <w:szCs w:val="18"/>
              </w:rPr>
              <w:t>功能要求</w:t>
            </w:r>
          </w:p>
        </w:tc>
        <w:tc>
          <w:tcPr>
            <w:tcW w:w="820" w:type="dxa"/>
            <w:vMerge w:val="continue"/>
            <w:tcBorders>
              <w:top w:val="nil"/>
              <w:left w:val="single" w:color="auto" w:sz="4" w:space="0"/>
              <w:bottom w:val="single" w:color="auto" w:sz="4" w:space="0"/>
              <w:right w:val="single" w:color="auto" w:sz="4" w:space="0"/>
            </w:tcBorders>
            <w:vAlign w:val="center"/>
          </w:tcPr>
          <w:p w14:paraId="5A194695">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16B59DD8">
            <w:pPr>
              <w:widowControl/>
              <w:jc w:val="left"/>
              <w:rPr>
                <w:rFonts w:ascii="宋体" w:hAnsi="宋体"/>
                <w:kern w:val="0"/>
                <w:sz w:val="18"/>
                <w:szCs w:val="18"/>
              </w:rPr>
            </w:pPr>
            <w:r>
              <w:rPr>
                <w:rFonts w:ascii="宋体" w:hAnsi="宋体"/>
                <w:kern w:val="0"/>
                <w:sz w:val="18"/>
                <w:szCs w:val="18"/>
              </w:rPr>
              <w:t>多集群作业管理</w:t>
            </w:r>
          </w:p>
        </w:tc>
        <w:tc>
          <w:tcPr>
            <w:tcW w:w="8860" w:type="dxa"/>
            <w:tcBorders>
              <w:top w:val="nil"/>
              <w:left w:val="nil"/>
              <w:bottom w:val="single" w:color="auto" w:sz="4" w:space="0"/>
              <w:right w:val="single" w:color="auto" w:sz="4" w:space="0"/>
            </w:tcBorders>
            <w:vAlign w:val="center"/>
          </w:tcPr>
          <w:p w14:paraId="50752788">
            <w:pPr>
              <w:widowControl/>
              <w:jc w:val="left"/>
              <w:rPr>
                <w:rFonts w:ascii="宋体" w:hAnsi="宋体"/>
                <w:kern w:val="0"/>
                <w:sz w:val="18"/>
                <w:szCs w:val="18"/>
              </w:rPr>
            </w:pPr>
            <w:r>
              <w:rPr>
                <w:rFonts w:ascii="宋体" w:hAnsi="宋体"/>
                <w:kern w:val="0"/>
                <w:sz w:val="18"/>
                <w:szCs w:val="18"/>
              </w:rPr>
              <w:t>支持多集群作业管理功能</w:t>
            </w:r>
          </w:p>
        </w:tc>
      </w:tr>
      <w:tr w14:paraId="14258C57">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296EDC84">
            <w:pPr>
              <w:widowControl/>
              <w:jc w:val="center"/>
              <w:rPr>
                <w:rFonts w:ascii="宋体" w:hAnsi="宋体"/>
                <w:kern w:val="0"/>
                <w:sz w:val="18"/>
                <w:szCs w:val="18"/>
              </w:rPr>
            </w:pPr>
            <w:r>
              <w:rPr>
                <w:rFonts w:ascii="宋体" w:hAnsi="宋体"/>
                <w:kern w:val="0"/>
                <w:sz w:val="18"/>
                <w:szCs w:val="18"/>
              </w:rPr>
              <w:t>75</w:t>
            </w:r>
          </w:p>
        </w:tc>
        <w:tc>
          <w:tcPr>
            <w:tcW w:w="1220" w:type="dxa"/>
            <w:tcBorders>
              <w:top w:val="nil"/>
              <w:left w:val="nil"/>
              <w:bottom w:val="single" w:color="auto" w:sz="4" w:space="0"/>
              <w:right w:val="single" w:color="auto" w:sz="4" w:space="0"/>
            </w:tcBorders>
            <w:vAlign w:val="center"/>
          </w:tcPr>
          <w:p w14:paraId="1D0E7465">
            <w:pPr>
              <w:widowControl/>
              <w:jc w:val="left"/>
              <w:rPr>
                <w:rFonts w:ascii="宋体" w:hAnsi="宋体"/>
                <w:kern w:val="0"/>
                <w:sz w:val="18"/>
                <w:szCs w:val="18"/>
              </w:rPr>
            </w:pPr>
            <w:r>
              <w:rPr>
                <w:rFonts w:ascii="宋体" w:hAnsi="宋体"/>
                <w:kern w:val="0"/>
                <w:sz w:val="18"/>
                <w:szCs w:val="18"/>
              </w:rPr>
              <w:t>安全要求</w:t>
            </w:r>
          </w:p>
        </w:tc>
        <w:tc>
          <w:tcPr>
            <w:tcW w:w="820" w:type="dxa"/>
            <w:tcBorders>
              <w:top w:val="nil"/>
              <w:left w:val="nil"/>
              <w:bottom w:val="single" w:color="auto" w:sz="4" w:space="0"/>
              <w:right w:val="single" w:color="auto" w:sz="4" w:space="0"/>
            </w:tcBorders>
            <w:vAlign w:val="center"/>
          </w:tcPr>
          <w:p w14:paraId="4E940242">
            <w:pPr>
              <w:widowControl/>
              <w:jc w:val="left"/>
              <w:rPr>
                <w:rFonts w:ascii="宋体" w:hAnsi="宋体"/>
                <w:kern w:val="0"/>
                <w:sz w:val="18"/>
                <w:szCs w:val="18"/>
              </w:rPr>
            </w:pPr>
            <w:r>
              <w:rPr>
                <w:rFonts w:ascii="宋体" w:hAnsi="宋体"/>
                <w:kern w:val="0"/>
                <w:sz w:val="18"/>
                <w:szCs w:val="18"/>
              </w:rPr>
              <w:t>关键部件安全要求</w:t>
            </w:r>
          </w:p>
        </w:tc>
        <w:tc>
          <w:tcPr>
            <w:tcW w:w="1320" w:type="dxa"/>
            <w:tcBorders>
              <w:top w:val="nil"/>
              <w:left w:val="nil"/>
              <w:bottom w:val="single" w:color="auto" w:sz="4" w:space="0"/>
              <w:right w:val="single" w:color="auto" w:sz="4" w:space="0"/>
            </w:tcBorders>
            <w:vAlign w:val="center"/>
          </w:tcPr>
          <w:p w14:paraId="1F278754">
            <w:pPr>
              <w:widowControl/>
              <w:jc w:val="left"/>
              <w:rPr>
                <w:rFonts w:ascii="宋体" w:hAnsi="宋体"/>
                <w:kern w:val="0"/>
                <w:sz w:val="18"/>
                <w:szCs w:val="18"/>
              </w:rPr>
            </w:pPr>
            <w:r>
              <w:rPr>
                <w:rFonts w:ascii="宋体" w:hAnsi="宋体"/>
                <w:kern w:val="0"/>
                <w:sz w:val="18"/>
                <w:szCs w:val="18"/>
              </w:rPr>
              <w:t>★关键部件安全要求3</w:t>
            </w:r>
          </w:p>
        </w:tc>
        <w:tc>
          <w:tcPr>
            <w:tcW w:w="8860" w:type="dxa"/>
            <w:tcBorders>
              <w:top w:val="nil"/>
              <w:left w:val="nil"/>
              <w:bottom w:val="single" w:color="auto" w:sz="4" w:space="0"/>
              <w:right w:val="single" w:color="auto" w:sz="4" w:space="0"/>
            </w:tcBorders>
            <w:vAlign w:val="center"/>
          </w:tcPr>
          <w:p w14:paraId="4A7F63D4">
            <w:pPr>
              <w:widowControl/>
              <w:jc w:val="left"/>
              <w:rPr>
                <w:rFonts w:ascii="宋体" w:hAnsi="宋体"/>
                <w:kern w:val="0"/>
                <w:sz w:val="18"/>
                <w:szCs w:val="18"/>
              </w:rPr>
            </w:pPr>
            <w:r>
              <w:rPr>
                <w:rFonts w:ascii="宋体" w:hAnsi="宋体"/>
                <w:kern w:val="0"/>
                <w:sz w:val="18"/>
                <w:szCs w:val="18"/>
              </w:rPr>
              <w:t>CPU和操作系统等关键部件应当符合安全可靠测评要求</w:t>
            </w:r>
          </w:p>
        </w:tc>
      </w:tr>
      <w:tr w14:paraId="0354E76D">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7F85B4A7">
            <w:pPr>
              <w:widowControl/>
              <w:jc w:val="center"/>
              <w:rPr>
                <w:rFonts w:ascii="宋体" w:hAnsi="宋体"/>
                <w:kern w:val="0"/>
                <w:sz w:val="18"/>
                <w:szCs w:val="18"/>
              </w:rPr>
            </w:pPr>
            <w:r>
              <w:rPr>
                <w:rFonts w:ascii="宋体" w:hAnsi="宋体"/>
                <w:kern w:val="0"/>
                <w:sz w:val="18"/>
                <w:szCs w:val="18"/>
              </w:rPr>
              <w:t>76</w:t>
            </w:r>
          </w:p>
        </w:tc>
        <w:tc>
          <w:tcPr>
            <w:tcW w:w="1220" w:type="dxa"/>
            <w:tcBorders>
              <w:top w:val="nil"/>
              <w:left w:val="nil"/>
              <w:bottom w:val="single" w:color="auto" w:sz="4" w:space="0"/>
              <w:right w:val="single" w:color="auto" w:sz="4" w:space="0"/>
            </w:tcBorders>
            <w:vAlign w:val="center"/>
          </w:tcPr>
          <w:p w14:paraId="47705CB5">
            <w:pPr>
              <w:widowControl/>
              <w:jc w:val="left"/>
              <w:rPr>
                <w:rFonts w:ascii="宋体" w:hAnsi="宋体"/>
                <w:kern w:val="0"/>
                <w:sz w:val="18"/>
                <w:szCs w:val="18"/>
              </w:rPr>
            </w:pPr>
            <w:r>
              <w:rPr>
                <w:rFonts w:ascii="宋体" w:hAnsi="宋体"/>
                <w:kern w:val="0"/>
                <w:sz w:val="18"/>
                <w:szCs w:val="18"/>
              </w:rPr>
              <w:t>安全要求</w:t>
            </w:r>
          </w:p>
        </w:tc>
        <w:tc>
          <w:tcPr>
            <w:tcW w:w="820" w:type="dxa"/>
            <w:vMerge w:val="restart"/>
            <w:tcBorders>
              <w:top w:val="nil"/>
              <w:left w:val="single" w:color="auto" w:sz="4" w:space="0"/>
              <w:bottom w:val="single" w:color="auto" w:sz="4" w:space="0"/>
              <w:right w:val="single" w:color="auto" w:sz="4" w:space="0"/>
            </w:tcBorders>
            <w:vAlign w:val="center"/>
          </w:tcPr>
          <w:p w14:paraId="3CA17747">
            <w:pPr>
              <w:widowControl/>
              <w:jc w:val="center"/>
              <w:rPr>
                <w:rFonts w:ascii="宋体" w:hAnsi="宋体"/>
                <w:kern w:val="0"/>
                <w:sz w:val="18"/>
                <w:szCs w:val="18"/>
              </w:rPr>
            </w:pPr>
            <w:r>
              <w:rPr>
                <w:rFonts w:ascii="宋体" w:hAnsi="宋体"/>
                <w:kern w:val="0"/>
                <w:sz w:val="18"/>
                <w:szCs w:val="18"/>
              </w:rPr>
              <w:t>固件安全要求</w:t>
            </w:r>
          </w:p>
        </w:tc>
        <w:tc>
          <w:tcPr>
            <w:tcW w:w="1320" w:type="dxa"/>
            <w:tcBorders>
              <w:top w:val="nil"/>
              <w:left w:val="nil"/>
              <w:bottom w:val="single" w:color="auto" w:sz="4" w:space="0"/>
              <w:right w:val="single" w:color="auto" w:sz="4" w:space="0"/>
            </w:tcBorders>
            <w:vAlign w:val="center"/>
          </w:tcPr>
          <w:p w14:paraId="1969AB5F">
            <w:pPr>
              <w:widowControl/>
              <w:jc w:val="left"/>
              <w:rPr>
                <w:rFonts w:ascii="宋体" w:hAnsi="宋体"/>
                <w:kern w:val="0"/>
                <w:sz w:val="18"/>
                <w:szCs w:val="18"/>
              </w:rPr>
            </w:pPr>
            <w:r>
              <w:rPr>
                <w:rFonts w:ascii="宋体" w:hAnsi="宋体"/>
                <w:kern w:val="0"/>
                <w:sz w:val="18"/>
                <w:szCs w:val="18"/>
              </w:rPr>
              <w:t>★故障检测</w:t>
            </w:r>
          </w:p>
        </w:tc>
        <w:tc>
          <w:tcPr>
            <w:tcW w:w="8860" w:type="dxa"/>
            <w:tcBorders>
              <w:top w:val="nil"/>
              <w:left w:val="nil"/>
              <w:bottom w:val="single" w:color="auto" w:sz="4" w:space="0"/>
              <w:right w:val="single" w:color="auto" w:sz="4" w:space="0"/>
            </w:tcBorders>
            <w:vAlign w:val="center"/>
          </w:tcPr>
          <w:p w14:paraId="05E0276B">
            <w:pPr>
              <w:widowControl/>
              <w:jc w:val="left"/>
              <w:rPr>
                <w:rFonts w:ascii="宋体" w:hAnsi="宋体"/>
                <w:kern w:val="0"/>
                <w:sz w:val="18"/>
                <w:szCs w:val="18"/>
              </w:rPr>
            </w:pPr>
            <w:r>
              <w:rPr>
                <w:rFonts w:ascii="宋体" w:hAnsi="宋体"/>
                <w:kern w:val="0"/>
                <w:sz w:val="18"/>
                <w:szCs w:val="18"/>
              </w:rPr>
              <w:t>支持故障检测功能，可以检测到具体的FRU（内存、硬盘等）的故障并发出告警</w:t>
            </w:r>
          </w:p>
        </w:tc>
      </w:tr>
      <w:tr w14:paraId="0B382E9F">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6B3EF2DF">
            <w:pPr>
              <w:widowControl/>
              <w:jc w:val="center"/>
              <w:rPr>
                <w:rFonts w:ascii="宋体" w:hAnsi="宋体"/>
                <w:kern w:val="0"/>
                <w:sz w:val="18"/>
                <w:szCs w:val="18"/>
              </w:rPr>
            </w:pPr>
            <w:r>
              <w:rPr>
                <w:rFonts w:ascii="宋体" w:hAnsi="宋体"/>
                <w:kern w:val="0"/>
                <w:sz w:val="18"/>
                <w:szCs w:val="18"/>
              </w:rPr>
              <w:t>77</w:t>
            </w:r>
          </w:p>
        </w:tc>
        <w:tc>
          <w:tcPr>
            <w:tcW w:w="1220" w:type="dxa"/>
            <w:tcBorders>
              <w:top w:val="nil"/>
              <w:left w:val="nil"/>
              <w:bottom w:val="single" w:color="auto" w:sz="4" w:space="0"/>
              <w:right w:val="single" w:color="auto" w:sz="4" w:space="0"/>
            </w:tcBorders>
            <w:vAlign w:val="center"/>
          </w:tcPr>
          <w:p w14:paraId="68F850A5">
            <w:pPr>
              <w:widowControl/>
              <w:jc w:val="left"/>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193AAF9F">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7B702CE4">
            <w:pPr>
              <w:widowControl/>
              <w:jc w:val="left"/>
              <w:rPr>
                <w:rFonts w:ascii="宋体" w:hAnsi="宋体"/>
                <w:kern w:val="0"/>
                <w:sz w:val="18"/>
                <w:szCs w:val="18"/>
              </w:rPr>
            </w:pPr>
            <w:r>
              <w:rPr>
                <w:rFonts w:ascii="宋体" w:hAnsi="宋体"/>
                <w:kern w:val="0"/>
                <w:sz w:val="18"/>
                <w:szCs w:val="18"/>
              </w:rPr>
              <w:t>内存故障智能预测和自愈修复</w:t>
            </w:r>
          </w:p>
        </w:tc>
        <w:tc>
          <w:tcPr>
            <w:tcW w:w="8860" w:type="dxa"/>
            <w:tcBorders>
              <w:top w:val="nil"/>
              <w:left w:val="nil"/>
              <w:bottom w:val="single" w:color="auto" w:sz="4" w:space="0"/>
              <w:right w:val="single" w:color="auto" w:sz="4" w:space="0"/>
            </w:tcBorders>
            <w:vAlign w:val="center"/>
          </w:tcPr>
          <w:p w14:paraId="197727A2">
            <w:pPr>
              <w:widowControl/>
              <w:jc w:val="left"/>
              <w:rPr>
                <w:rFonts w:ascii="宋体" w:hAnsi="宋体"/>
                <w:kern w:val="0"/>
                <w:sz w:val="18"/>
                <w:szCs w:val="18"/>
              </w:rPr>
            </w:pPr>
            <w:r>
              <w:rPr>
                <w:rFonts w:ascii="宋体" w:hAnsi="宋体"/>
                <w:kern w:val="0"/>
                <w:sz w:val="18"/>
                <w:szCs w:val="18"/>
              </w:rPr>
              <w:t>支持内存故障智能预测和自愈修复，提前自动硬隔离，避免内存故障引起的非预期宕机以及内存寿命的降低</w:t>
            </w:r>
          </w:p>
        </w:tc>
      </w:tr>
      <w:tr w14:paraId="577BE7C5">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05614928">
            <w:pPr>
              <w:widowControl/>
              <w:jc w:val="center"/>
              <w:rPr>
                <w:rFonts w:ascii="宋体" w:hAnsi="宋体"/>
                <w:kern w:val="0"/>
                <w:sz w:val="18"/>
                <w:szCs w:val="18"/>
              </w:rPr>
            </w:pPr>
            <w:r>
              <w:rPr>
                <w:rFonts w:ascii="宋体" w:hAnsi="宋体"/>
                <w:kern w:val="0"/>
                <w:sz w:val="18"/>
                <w:szCs w:val="18"/>
              </w:rPr>
              <w:t>78</w:t>
            </w:r>
          </w:p>
        </w:tc>
        <w:tc>
          <w:tcPr>
            <w:tcW w:w="1220" w:type="dxa"/>
            <w:tcBorders>
              <w:top w:val="nil"/>
              <w:left w:val="nil"/>
              <w:bottom w:val="single" w:color="auto" w:sz="4" w:space="0"/>
              <w:right w:val="single" w:color="auto" w:sz="4" w:space="0"/>
            </w:tcBorders>
            <w:vAlign w:val="center"/>
          </w:tcPr>
          <w:p w14:paraId="00402A46">
            <w:pPr>
              <w:widowControl/>
              <w:jc w:val="left"/>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38A26F62">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4A97E608">
            <w:pPr>
              <w:widowControl/>
              <w:jc w:val="left"/>
              <w:rPr>
                <w:rFonts w:ascii="宋体" w:hAnsi="宋体"/>
                <w:kern w:val="0"/>
                <w:sz w:val="18"/>
                <w:szCs w:val="18"/>
              </w:rPr>
            </w:pPr>
            <w:r>
              <w:rPr>
                <w:rFonts w:ascii="宋体" w:hAnsi="宋体"/>
                <w:kern w:val="0"/>
                <w:sz w:val="18"/>
                <w:szCs w:val="18"/>
              </w:rPr>
              <w:t>硬盘故障智能预测</w:t>
            </w:r>
          </w:p>
        </w:tc>
        <w:tc>
          <w:tcPr>
            <w:tcW w:w="8860" w:type="dxa"/>
            <w:tcBorders>
              <w:top w:val="nil"/>
              <w:left w:val="nil"/>
              <w:bottom w:val="single" w:color="auto" w:sz="4" w:space="0"/>
              <w:right w:val="single" w:color="auto" w:sz="4" w:space="0"/>
            </w:tcBorders>
            <w:vAlign w:val="center"/>
          </w:tcPr>
          <w:p w14:paraId="4060AA8E">
            <w:pPr>
              <w:widowControl/>
              <w:jc w:val="left"/>
              <w:rPr>
                <w:rFonts w:ascii="宋体" w:hAnsi="宋体"/>
                <w:kern w:val="0"/>
                <w:sz w:val="18"/>
                <w:szCs w:val="18"/>
              </w:rPr>
            </w:pPr>
            <w:r>
              <w:rPr>
                <w:rFonts w:ascii="宋体" w:hAnsi="宋体"/>
                <w:kern w:val="0"/>
                <w:sz w:val="18"/>
                <w:szCs w:val="18"/>
              </w:rPr>
              <w:t>支持硬盘故障智能预测，基于故障模型预测出硬盘的故障</w:t>
            </w:r>
          </w:p>
        </w:tc>
      </w:tr>
      <w:tr w14:paraId="460956D9">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477756C5">
            <w:pPr>
              <w:widowControl/>
              <w:jc w:val="center"/>
              <w:rPr>
                <w:rFonts w:ascii="宋体" w:hAnsi="宋体"/>
                <w:kern w:val="0"/>
                <w:sz w:val="18"/>
                <w:szCs w:val="18"/>
              </w:rPr>
            </w:pPr>
            <w:r>
              <w:rPr>
                <w:rFonts w:ascii="宋体" w:hAnsi="宋体"/>
                <w:kern w:val="0"/>
                <w:sz w:val="18"/>
                <w:szCs w:val="18"/>
              </w:rPr>
              <w:t>79</w:t>
            </w:r>
          </w:p>
        </w:tc>
        <w:tc>
          <w:tcPr>
            <w:tcW w:w="1220" w:type="dxa"/>
            <w:tcBorders>
              <w:top w:val="nil"/>
              <w:left w:val="nil"/>
              <w:bottom w:val="single" w:color="auto" w:sz="4" w:space="0"/>
              <w:right w:val="single" w:color="auto" w:sz="4" w:space="0"/>
            </w:tcBorders>
            <w:vAlign w:val="center"/>
          </w:tcPr>
          <w:p w14:paraId="4848941D">
            <w:pPr>
              <w:widowControl/>
              <w:jc w:val="left"/>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2367007E">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418AA117">
            <w:pPr>
              <w:widowControl/>
              <w:jc w:val="left"/>
              <w:rPr>
                <w:rFonts w:ascii="宋体" w:hAnsi="宋体"/>
                <w:kern w:val="0"/>
                <w:sz w:val="18"/>
                <w:szCs w:val="18"/>
              </w:rPr>
            </w:pPr>
            <w:r>
              <w:rPr>
                <w:rFonts w:ascii="宋体" w:hAnsi="宋体"/>
                <w:kern w:val="0"/>
                <w:sz w:val="18"/>
                <w:szCs w:val="18"/>
              </w:rPr>
              <w:t>PCIe链路故障智能诊断</w:t>
            </w:r>
          </w:p>
        </w:tc>
        <w:tc>
          <w:tcPr>
            <w:tcW w:w="8860" w:type="dxa"/>
            <w:tcBorders>
              <w:top w:val="nil"/>
              <w:left w:val="nil"/>
              <w:bottom w:val="single" w:color="auto" w:sz="4" w:space="0"/>
              <w:right w:val="single" w:color="auto" w:sz="4" w:space="0"/>
            </w:tcBorders>
            <w:vAlign w:val="center"/>
          </w:tcPr>
          <w:p w14:paraId="7E52B57C">
            <w:pPr>
              <w:widowControl/>
              <w:jc w:val="left"/>
              <w:rPr>
                <w:rFonts w:ascii="宋体" w:hAnsi="宋体"/>
                <w:kern w:val="0"/>
                <w:sz w:val="18"/>
                <w:szCs w:val="18"/>
              </w:rPr>
            </w:pPr>
            <w:r>
              <w:rPr>
                <w:rFonts w:ascii="宋体" w:hAnsi="宋体"/>
                <w:kern w:val="0"/>
                <w:sz w:val="18"/>
                <w:szCs w:val="18"/>
              </w:rPr>
              <w:t>支持PCIe链路故障智能诊断，判断出现故障的PCIe链路</w:t>
            </w:r>
          </w:p>
        </w:tc>
      </w:tr>
      <w:tr w14:paraId="0FB5590C">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6F55A5F6">
            <w:pPr>
              <w:widowControl/>
              <w:jc w:val="center"/>
              <w:rPr>
                <w:rFonts w:ascii="宋体" w:hAnsi="宋体"/>
                <w:kern w:val="0"/>
                <w:sz w:val="18"/>
                <w:szCs w:val="18"/>
              </w:rPr>
            </w:pPr>
            <w:r>
              <w:rPr>
                <w:rFonts w:ascii="宋体" w:hAnsi="宋体"/>
                <w:kern w:val="0"/>
                <w:sz w:val="18"/>
                <w:szCs w:val="18"/>
              </w:rPr>
              <w:t>80</w:t>
            </w:r>
          </w:p>
        </w:tc>
        <w:tc>
          <w:tcPr>
            <w:tcW w:w="1220" w:type="dxa"/>
            <w:tcBorders>
              <w:top w:val="nil"/>
              <w:left w:val="nil"/>
              <w:bottom w:val="single" w:color="auto" w:sz="4" w:space="0"/>
              <w:right w:val="single" w:color="auto" w:sz="4" w:space="0"/>
            </w:tcBorders>
            <w:vAlign w:val="center"/>
          </w:tcPr>
          <w:p w14:paraId="43CCB41F">
            <w:pPr>
              <w:widowControl/>
              <w:jc w:val="left"/>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1F26D684">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300043D8">
            <w:pPr>
              <w:widowControl/>
              <w:jc w:val="left"/>
              <w:rPr>
                <w:rFonts w:ascii="宋体" w:hAnsi="宋体"/>
                <w:kern w:val="0"/>
                <w:sz w:val="18"/>
                <w:szCs w:val="18"/>
              </w:rPr>
            </w:pPr>
            <w:r>
              <w:rPr>
                <w:rFonts w:ascii="宋体" w:hAnsi="宋体"/>
                <w:kern w:val="0"/>
                <w:sz w:val="18"/>
                <w:szCs w:val="18"/>
              </w:rPr>
              <w:t>内存故障隔离</w:t>
            </w:r>
          </w:p>
        </w:tc>
        <w:tc>
          <w:tcPr>
            <w:tcW w:w="8860" w:type="dxa"/>
            <w:tcBorders>
              <w:top w:val="nil"/>
              <w:left w:val="nil"/>
              <w:bottom w:val="single" w:color="auto" w:sz="4" w:space="0"/>
              <w:right w:val="single" w:color="auto" w:sz="4" w:space="0"/>
            </w:tcBorders>
            <w:vAlign w:val="center"/>
          </w:tcPr>
          <w:p w14:paraId="153790A9">
            <w:pPr>
              <w:widowControl/>
              <w:jc w:val="left"/>
              <w:rPr>
                <w:rFonts w:ascii="宋体" w:hAnsi="宋体"/>
                <w:kern w:val="0"/>
                <w:sz w:val="18"/>
                <w:szCs w:val="18"/>
              </w:rPr>
            </w:pPr>
            <w:r>
              <w:rPr>
                <w:rFonts w:ascii="宋体" w:hAnsi="宋体"/>
                <w:kern w:val="0"/>
                <w:sz w:val="18"/>
                <w:szCs w:val="18"/>
              </w:rPr>
              <w:t>支持内存故障隔离，在内存产生CE故障时，内存地址被隔离成功，服务器正常运行，业务系统不中断</w:t>
            </w:r>
          </w:p>
        </w:tc>
      </w:tr>
      <w:tr w14:paraId="52527880">
        <w:tblPrEx>
          <w:tblCellMar>
            <w:top w:w="0" w:type="dxa"/>
            <w:left w:w="108" w:type="dxa"/>
            <w:bottom w:w="0" w:type="dxa"/>
            <w:right w:w="108" w:type="dxa"/>
          </w:tblCellMar>
        </w:tblPrEx>
        <w:trPr>
          <w:trHeight w:val="695" w:hRule="atLeast"/>
        </w:trPr>
        <w:tc>
          <w:tcPr>
            <w:tcW w:w="480" w:type="dxa"/>
            <w:tcBorders>
              <w:top w:val="nil"/>
              <w:left w:val="single" w:color="auto" w:sz="4" w:space="0"/>
              <w:bottom w:val="single" w:color="auto" w:sz="4" w:space="0"/>
              <w:right w:val="single" w:color="auto" w:sz="4" w:space="0"/>
            </w:tcBorders>
            <w:vAlign w:val="center"/>
          </w:tcPr>
          <w:p w14:paraId="3B25D6EF">
            <w:pPr>
              <w:widowControl/>
              <w:jc w:val="center"/>
              <w:rPr>
                <w:rFonts w:ascii="宋体" w:hAnsi="宋体"/>
                <w:kern w:val="0"/>
                <w:sz w:val="18"/>
                <w:szCs w:val="18"/>
              </w:rPr>
            </w:pPr>
            <w:r>
              <w:rPr>
                <w:rFonts w:ascii="宋体" w:hAnsi="宋体"/>
                <w:kern w:val="0"/>
                <w:sz w:val="18"/>
                <w:szCs w:val="18"/>
              </w:rPr>
              <w:t>81</w:t>
            </w:r>
          </w:p>
        </w:tc>
        <w:tc>
          <w:tcPr>
            <w:tcW w:w="1220" w:type="dxa"/>
            <w:tcBorders>
              <w:top w:val="nil"/>
              <w:left w:val="nil"/>
              <w:bottom w:val="single" w:color="auto" w:sz="4" w:space="0"/>
              <w:right w:val="single" w:color="auto" w:sz="4" w:space="0"/>
            </w:tcBorders>
            <w:vAlign w:val="center"/>
          </w:tcPr>
          <w:p w14:paraId="35B363CB">
            <w:pPr>
              <w:widowControl/>
              <w:jc w:val="left"/>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3E083BD6">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5CEC5975">
            <w:pPr>
              <w:widowControl/>
              <w:jc w:val="left"/>
              <w:rPr>
                <w:rFonts w:ascii="宋体" w:hAnsi="宋体"/>
                <w:kern w:val="0"/>
                <w:sz w:val="18"/>
                <w:szCs w:val="18"/>
              </w:rPr>
            </w:pPr>
            <w:r>
              <w:rPr>
                <w:rFonts w:ascii="宋体" w:hAnsi="宋体"/>
                <w:kern w:val="0"/>
                <w:sz w:val="18"/>
                <w:szCs w:val="18"/>
              </w:rPr>
              <w:t>内存、PCIe卡的故障精准告警功能</w:t>
            </w:r>
          </w:p>
        </w:tc>
        <w:tc>
          <w:tcPr>
            <w:tcW w:w="8860" w:type="dxa"/>
            <w:tcBorders>
              <w:top w:val="nil"/>
              <w:left w:val="nil"/>
              <w:bottom w:val="single" w:color="auto" w:sz="4" w:space="0"/>
              <w:right w:val="single" w:color="auto" w:sz="4" w:space="0"/>
            </w:tcBorders>
            <w:vAlign w:val="center"/>
          </w:tcPr>
          <w:p w14:paraId="7230B9BD">
            <w:pPr>
              <w:widowControl/>
              <w:jc w:val="left"/>
              <w:rPr>
                <w:rFonts w:ascii="宋体" w:hAnsi="宋体"/>
                <w:kern w:val="0"/>
                <w:sz w:val="18"/>
                <w:szCs w:val="18"/>
              </w:rPr>
            </w:pPr>
            <w:r>
              <w:rPr>
                <w:rFonts w:ascii="宋体" w:hAnsi="宋体"/>
                <w:kern w:val="0"/>
                <w:sz w:val="18"/>
                <w:szCs w:val="18"/>
              </w:rPr>
              <w:t>支持内存、PCIe卡的故障精准告警功能，触发告警并明确指示具体的故障位置</w:t>
            </w:r>
          </w:p>
        </w:tc>
      </w:tr>
      <w:tr w14:paraId="774582F9">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40E5B59E">
            <w:pPr>
              <w:widowControl/>
              <w:jc w:val="center"/>
              <w:rPr>
                <w:rFonts w:ascii="宋体" w:hAnsi="宋体"/>
                <w:kern w:val="0"/>
                <w:sz w:val="18"/>
                <w:szCs w:val="18"/>
              </w:rPr>
            </w:pPr>
            <w:r>
              <w:rPr>
                <w:rFonts w:ascii="宋体" w:hAnsi="宋体"/>
                <w:kern w:val="0"/>
                <w:sz w:val="18"/>
                <w:szCs w:val="18"/>
              </w:rPr>
              <w:t>82</w:t>
            </w:r>
          </w:p>
        </w:tc>
        <w:tc>
          <w:tcPr>
            <w:tcW w:w="1220" w:type="dxa"/>
            <w:tcBorders>
              <w:top w:val="nil"/>
              <w:left w:val="nil"/>
              <w:bottom w:val="single" w:color="auto" w:sz="4" w:space="0"/>
              <w:right w:val="single" w:color="auto" w:sz="4" w:space="0"/>
            </w:tcBorders>
            <w:vAlign w:val="center"/>
          </w:tcPr>
          <w:p w14:paraId="4775568C">
            <w:pPr>
              <w:widowControl/>
              <w:jc w:val="left"/>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7B862521">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644B4EE2">
            <w:pPr>
              <w:widowControl/>
              <w:jc w:val="left"/>
              <w:rPr>
                <w:rFonts w:ascii="宋体" w:hAnsi="宋体"/>
                <w:kern w:val="0"/>
                <w:sz w:val="18"/>
                <w:szCs w:val="18"/>
              </w:rPr>
            </w:pPr>
            <w:r>
              <w:rPr>
                <w:rFonts w:ascii="宋体" w:hAnsi="宋体"/>
                <w:kern w:val="0"/>
                <w:sz w:val="18"/>
                <w:szCs w:val="18"/>
              </w:rPr>
              <w:t>异常下电关键数据保护</w:t>
            </w:r>
          </w:p>
        </w:tc>
        <w:tc>
          <w:tcPr>
            <w:tcW w:w="8860" w:type="dxa"/>
            <w:tcBorders>
              <w:top w:val="nil"/>
              <w:left w:val="nil"/>
              <w:bottom w:val="single" w:color="auto" w:sz="4" w:space="0"/>
              <w:right w:val="single" w:color="auto" w:sz="4" w:space="0"/>
            </w:tcBorders>
            <w:vAlign w:val="center"/>
          </w:tcPr>
          <w:p w14:paraId="381E2385">
            <w:pPr>
              <w:widowControl/>
              <w:jc w:val="left"/>
              <w:rPr>
                <w:rFonts w:ascii="宋体" w:hAnsi="宋体"/>
                <w:kern w:val="0"/>
                <w:sz w:val="18"/>
                <w:szCs w:val="18"/>
              </w:rPr>
            </w:pPr>
            <w:r>
              <w:rPr>
                <w:rFonts w:ascii="宋体" w:hAnsi="宋体"/>
                <w:kern w:val="0"/>
                <w:sz w:val="18"/>
                <w:szCs w:val="18"/>
              </w:rPr>
              <w:t>支持异常下电关键数据保护，支持数据备份恢复机制，防止系统异常掉电导致的数据文件丢失</w:t>
            </w:r>
          </w:p>
        </w:tc>
      </w:tr>
      <w:tr w14:paraId="4478128C">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40BE8C9C">
            <w:pPr>
              <w:widowControl/>
              <w:jc w:val="center"/>
              <w:rPr>
                <w:rFonts w:ascii="宋体" w:hAnsi="宋体"/>
                <w:kern w:val="0"/>
                <w:sz w:val="18"/>
                <w:szCs w:val="18"/>
              </w:rPr>
            </w:pPr>
            <w:r>
              <w:rPr>
                <w:rFonts w:ascii="宋体" w:hAnsi="宋体"/>
                <w:kern w:val="0"/>
                <w:sz w:val="18"/>
                <w:szCs w:val="18"/>
              </w:rPr>
              <w:t>83</w:t>
            </w:r>
          </w:p>
        </w:tc>
        <w:tc>
          <w:tcPr>
            <w:tcW w:w="1220" w:type="dxa"/>
            <w:tcBorders>
              <w:top w:val="nil"/>
              <w:left w:val="nil"/>
              <w:bottom w:val="single" w:color="auto" w:sz="4" w:space="0"/>
              <w:right w:val="single" w:color="auto" w:sz="4" w:space="0"/>
            </w:tcBorders>
            <w:vAlign w:val="center"/>
          </w:tcPr>
          <w:p w14:paraId="692503C7">
            <w:pPr>
              <w:widowControl/>
              <w:jc w:val="left"/>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4C0ED198">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6F8B8810">
            <w:pPr>
              <w:widowControl/>
              <w:jc w:val="left"/>
              <w:rPr>
                <w:rFonts w:ascii="宋体" w:hAnsi="宋体"/>
                <w:kern w:val="0"/>
                <w:sz w:val="18"/>
                <w:szCs w:val="18"/>
              </w:rPr>
            </w:pPr>
            <w:r>
              <w:rPr>
                <w:rFonts w:ascii="宋体" w:hAnsi="宋体"/>
                <w:kern w:val="0"/>
                <w:sz w:val="18"/>
                <w:szCs w:val="18"/>
              </w:rPr>
              <w:t>BMC/BIOS固件双镜像保护</w:t>
            </w:r>
          </w:p>
        </w:tc>
        <w:tc>
          <w:tcPr>
            <w:tcW w:w="8860" w:type="dxa"/>
            <w:tcBorders>
              <w:top w:val="nil"/>
              <w:left w:val="nil"/>
              <w:bottom w:val="single" w:color="auto" w:sz="4" w:space="0"/>
              <w:right w:val="single" w:color="auto" w:sz="4" w:space="0"/>
            </w:tcBorders>
            <w:vAlign w:val="center"/>
          </w:tcPr>
          <w:p w14:paraId="56EFB177">
            <w:pPr>
              <w:widowControl/>
              <w:jc w:val="left"/>
              <w:rPr>
                <w:rFonts w:ascii="宋体" w:hAnsi="宋体"/>
                <w:kern w:val="0"/>
                <w:sz w:val="18"/>
                <w:szCs w:val="18"/>
              </w:rPr>
            </w:pPr>
            <w:r>
              <w:rPr>
                <w:rFonts w:ascii="宋体" w:hAnsi="宋体"/>
                <w:kern w:val="0"/>
                <w:sz w:val="18"/>
                <w:szCs w:val="18"/>
              </w:rPr>
              <w:t>支持BMC/BIOS固件双镜像保护，运行异常时自动切换到备份镜像运行，提升系统稳定性</w:t>
            </w:r>
          </w:p>
        </w:tc>
      </w:tr>
      <w:tr w14:paraId="62047457">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4D6C696A">
            <w:pPr>
              <w:widowControl/>
              <w:jc w:val="center"/>
              <w:rPr>
                <w:rFonts w:ascii="宋体" w:hAnsi="宋体"/>
                <w:kern w:val="0"/>
                <w:sz w:val="18"/>
                <w:szCs w:val="18"/>
              </w:rPr>
            </w:pPr>
            <w:r>
              <w:rPr>
                <w:rFonts w:ascii="宋体" w:hAnsi="宋体"/>
                <w:kern w:val="0"/>
                <w:sz w:val="18"/>
                <w:szCs w:val="18"/>
              </w:rPr>
              <w:t>84</w:t>
            </w:r>
          </w:p>
        </w:tc>
        <w:tc>
          <w:tcPr>
            <w:tcW w:w="1220" w:type="dxa"/>
            <w:tcBorders>
              <w:top w:val="nil"/>
              <w:left w:val="nil"/>
              <w:bottom w:val="single" w:color="auto" w:sz="4" w:space="0"/>
              <w:right w:val="single" w:color="auto" w:sz="4" w:space="0"/>
            </w:tcBorders>
            <w:vAlign w:val="center"/>
          </w:tcPr>
          <w:p w14:paraId="5314D834">
            <w:pPr>
              <w:widowControl/>
              <w:jc w:val="left"/>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61B734C8">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4C70BA17">
            <w:pPr>
              <w:widowControl/>
              <w:jc w:val="left"/>
              <w:rPr>
                <w:rFonts w:ascii="宋体" w:hAnsi="宋体"/>
                <w:kern w:val="0"/>
                <w:sz w:val="18"/>
                <w:szCs w:val="18"/>
              </w:rPr>
            </w:pPr>
            <w:r>
              <w:rPr>
                <w:rFonts w:ascii="宋体" w:hAnsi="宋体"/>
                <w:kern w:val="0"/>
                <w:sz w:val="18"/>
                <w:szCs w:val="18"/>
              </w:rPr>
              <w:t>CPU核重启隔离</w:t>
            </w:r>
          </w:p>
        </w:tc>
        <w:tc>
          <w:tcPr>
            <w:tcW w:w="8860" w:type="dxa"/>
            <w:tcBorders>
              <w:top w:val="nil"/>
              <w:left w:val="nil"/>
              <w:bottom w:val="single" w:color="auto" w:sz="4" w:space="0"/>
              <w:right w:val="single" w:color="auto" w:sz="4" w:space="0"/>
            </w:tcBorders>
            <w:vAlign w:val="center"/>
          </w:tcPr>
          <w:p w14:paraId="1B9FF19A">
            <w:pPr>
              <w:widowControl/>
              <w:jc w:val="left"/>
              <w:rPr>
                <w:rFonts w:ascii="宋体" w:hAnsi="宋体"/>
                <w:kern w:val="0"/>
                <w:sz w:val="18"/>
                <w:szCs w:val="18"/>
              </w:rPr>
            </w:pPr>
            <w:r>
              <w:rPr>
                <w:rFonts w:ascii="宋体" w:hAnsi="宋体"/>
                <w:kern w:val="0"/>
                <w:sz w:val="18"/>
                <w:szCs w:val="18"/>
              </w:rPr>
              <w:t>支持CPU核发生不可纠正故障后，重启后由BIOS隔离该故障核，OS不可见，防止OS再次使用导致系统异常，核0除外</w:t>
            </w:r>
          </w:p>
        </w:tc>
      </w:tr>
      <w:tr w14:paraId="7F7AC896">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5FF00DD0">
            <w:pPr>
              <w:widowControl/>
              <w:jc w:val="center"/>
              <w:rPr>
                <w:rFonts w:ascii="宋体" w:hAnsi="宋体"/>
                <w:kern w:val="0"/>
                <w:sz w:val="18"/>
                <w:szCs w:val="18"/>
              </w:rPr>
            </w:pPr>
            <w:r>
              <w:rPr>
                <w:rFonts w:ascii="宋体" w:hAnsi="宋体"/>
                <w:kern w:val="0"/>
                <w:sz w:val="18"/>
                <w:szCs w:val="18"/>
              </w:rPr>
              <w:t>85</w:t>
            </w:r>
          </w:p>
        </w:tc>
        <w:tc>
          <w:tcPr>
            <w:tcW w:w="1220" w:type="dxa"/>
            <w:tcBorders>
              <w:top w:val="nil"/>
              <w:left w:val="nil"/>
              <w:bottom w:val="single" w:color="auto" w:sz="4" w:space="0"/>
              <w:right w:val="single" w:color="auto" w:sz="4" w:space="0"/>
            </w:tcBorders>
            <w:vAlign w:val="center"/>
          </w:tcPr>
          <w:p w14:paraId="174EC719">
            <w:pPr>
              <w:widowControl/>
              <w:jc w:val="left"/>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4438B817">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4EFB1210">
            <w:pPr>
              <w:widowControl/>
              <w:jc w:val="left"/>
              <w:rPr>
                <w:rFonts w:ascii="宋体" w:hAnsi="宋体"/>
                <w:kern w:val="0"/>
                <w:sz w:val="18"/>
                <w:szCs w:val="18"/>
              </w:rPr>
            </w:pPr>
            <w:r>
              <w:rPr>
                <w:rFonts w:ascii="宋体" w:hAnsi="宋体"/>
                <w:kern w:val="0"/>
                <w:sz w:val="18"/>
                <w:szCs w:val="18"/>
              </w:rPr>
              <w:t>内存地址隔离</w:t>
            </w:r>
          </w:p>
        </w:tc>
        <w:tc>
          <w:tcPr>
            <w:tcW w:w="8860" w:type="dxa"/>
            <w:tcBorders>
              <w:top w:val="nil"/>
              <w:left w:val="nil"/>
              <w:bottom w:val="single" w:color="auto" w:sz="4" w:space="0"/>
              <w:right w:val="single" w:color="auto" w:sz="4" w:space="0"/>
            </w:tcBorders>
            <w:vAlign w:val="center"/>
          </w:tcPr>
          <w:p w14:paraId="10F0C323">
            <w:pPr>
              <w:widowControl/>
              <w:jc w:val="left"/>
              <w:rPr>
                <w:rFonts w:ascii="宋体" w:hAnsi="宋体"/>
                <w:kern w:val="0"/>
                <w:sz w:val="18"/>
                <w:szCs w:val="18"/>
              </w:rPr>
            </w:pPr>
            <w:r>
              <w:rPr>
                <w:rFonts w:ascii="宋体" w:hAnsi="宋体"/>
                <w:kern w:val="0"/>
                <w:sz w:val="18"/>
                <w:szCs w:val="18"/>
              </w:rPr>
              <w:t>在硬件支持的情况下，支持故障内存地址重启后隔离</w:t>
            </w:r>
          </w:p>
        </w:tc>
      </w:tr>
      <w:tr w14:paraId="29592B89">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246E2F82">
            <w:pPr>
              <w:widowControl/>
              <w:jc w:val="center"/>
              <w:rPr>
                <w:rFonts w:ascii="宋体" w:hAnsi="宋体"/>
                <w:kern w:val="0"/>
                <w:sz w:val="18"/>
                <w:szCs w:val="18"/>
              </w:rPr>
            </w:pPr>
            <w:r>
              <w:rPr>
                <w:rFonts w:ascii="宋体" w:hAnsi="宋体"/>
                <w:kern w:val="0"/>
                <w:sz w:val="18"/>
                <w:szCs w:val="18"/>
              </w:rPr>
              <w:t>86</w:t>
            </w:r>
          </w:p>
        </w:tc>
        <w:tc>
          <w:tcPr>
            <w:tcW w:w="1220" w:type="dxa"/>
            <w:tcBorders>
              <w:top w:val="nil"/>
              <w:left w:val="nil"/>
              <w:bottom w:val="single" w:color="auto" w:sz="4" w:space="0"/>
              <w:right w:val="single" w:color="auto" w:sz="4" w:space="0"/>
            </w:tcBorders>
            <w:vAlign w:val="center"/>
          </w:tcPr>
          <w:p w14:paraId="3221625F">
            <w:pPr>
              <w:widowControl/>
              <w:jc w:val="center"/>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45C7AFAD">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18AB5F89">
            <w:pPr>
              <w:widowControl/>
              <w:jc w:val="left"/>
              <w:rPr>
                <w:rFonts w:ascii="宋体" w:hAnsi="宋体"/>
                <w:kern w:val="0"/>
                <w:sz w:val="18"/>
                <w:szCs w:val="18"/>
              </w:rPr>
            </w:pPr>
            <w:r>
              <w:rPr>
                <w:rFonts w:ascii="宋体" w:hAnsi="宋体"/>
                <w:kern w:val="0"/>
                <w:sz w:val="18"/>
                <w:szCs w:val="18"/>
              </w:rPr>
              <w:t>内存存储阵列替换</w:t>
            </w:r>
          </w:p>
        </w:tc>
        <w:tc>
          <w:tcPr>
            <w:tcW w:w="8860" w:type="dxa"/>
            <w:tcBorders>
              <w:top w:val="nil"/>
              <w:left w:val="nil"/>
              <w:bottom w:val="single" w:color="auto" w:sz="4" w:space="0"/>
              <w:right w:val="single" w:color="auto" w:sz="4" w:space="0"/>
            </w:tcBorders>
            <w:vAlign w:val="center"/>
          </w:tcPr>
          <w:p w14:paraId="017CBC87">
            <w:pPr>
              <w:widowControl/>
              <w:jc w:val="left"/>
              <w:rPr>
                <w:rFonts w:ascii="宋体" w:hAnsi="宋体"/>
                <w:kern w:val="0"/>
                <w:sz w:val="18"/>
                <w:szCs w:val="18"/>
              </w:rPr>
            </w:pPr>
            <w:r>
              <w:rPr>
                <w:rFonts w:ascii="宋体" w:hAnsi="宋体"/>
                <w:kern w:val="0"/>
                <w:sz w:val="18"/>
                <w:szCs w:val="18"/>
              </w:rPr>
              <w:t>在硬件支持的情况下，支持故障内存存储阵列替换</w:t>
            </w:r>
          </w:p>
        </w:tc>
      </w:tr>
      <w:tr w14:paraId="2B0FFB96">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5CE7EBDA">
            <w:pPr>
              <w:widowControl/>
              <w:jc w:val="center"/>
              <w:rPr>
                <w:rFonts w:ascii="宋体" w:hAnsi="宋体"/>
                <w:kern w:val="0"/>
                <w:sz w:val="18"/>
                <w:szCs w:val="18"/>
              </w:rPr>
            </w:pPr>
            <w:r>
              <w:rPr>
                <w:rFonts w:ascii="宋体" w:hAnsi="宋体"/>
                <w:kern w:val="0"/>
                <w:sz w:val="18"/>
                <w:szCs w:val="18"/>
              </w:rPr>
              <w:t>87</w:t>
            </w:r>
          </w:p>
        </w:tc>
        <w:tc>
          <w:tcPr>
            <w:tcW w:w="1220" w:type="dxa"/>
            <w:tcBorders>
              <w:top w:val="nil"/>
              <w:left w:val="nil"/>
              <w:bottom w:val="single" w:color="auto" w:sz="4" w:space="0"/>
              <w:right w:val="single" w:color="auto" w:sz="4" w:space="0"/>
            </w:tcBorders>
            <w:vAlign w:val="center"/>
          </w:tcPr>
          <w:p w14:paraId="485001AB">
            <w:pPr>
              <w:widowControl/>
              <w:jc w:val="center"/>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405CDBD5">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456A44A2">
            <w:pPr>
              <w:widowControl/>
              <w:jc w:val="left"/>
              <w:rPr>
                <w:rFonts w:ascii="宋体" w:hAnsi="宋体"/>
                <w:kern w:val="0"/>
                <w:sz w:val="18"/>
                <w:szCs w:val="18"/>
              </w:rPr>
            </w:pPr>
            <w:r>
              <w:rPr>
                <w:rFonts w:ascii="宋体" w:hAnsi="宋体"/>
                <w:kern w:val="0"/>
                <w:sz w:val="18"/>
                <w:szCs w:val="18"/>
              </w:rPr>
              <w:t>安全启动</w:t>
            </w:r>
          </w:p>
        </w:tc>
        <w:tc>
          <w:tcPr>
            <w:tcW w:w="8860" w:type="dxa"/>
            <w:tcBorders>
              <w:top w:val="nil"/>
              <w:left w:val="nil"/>
              <w:bottom w:val="single" w:color="auto" w:sz="4" w:space="0"/>
              <w:right w:val="single" w:color="auto" w:sz="4" w:space="0"/>
            </w:tcBorders>
            <w:vAlign w:val="center"/>
          </w:tcPr>
          <w:p w14:paraId="18D7D4EB">
            <w:pPr>
              <w:widowControl/>
              <w:jc w:val="left"/>
              <w:rPr>
                <w:rFonts w:ascii="宋体" w:hAnsi="宋体"/>
                <w:kern w:val="0"/>
                <w:sz w:val="18"/>
                <w:szCs w:val="18"/>
              </w:rPr>
            </w:pPr>
            <w:r>
              <w:rPr>
                <w:rFonts w:ascii="宋体" w:hAnsi="宋体"/>
                <w:kern w:val="0"/>
                <w:sz w:val="18"/>
                <w:szCs w:val="18"/>
              </w:rPr>
              <w:t>支持执行环境要求在整个系统启动的过程中，系统应提供一个机制来保护平台的完整性</w:t>
            </w:r>
          </w:p>
        </w:tc>
      </w:tr>
      <w:tr w14:paraId="10F645B3">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1F337685">
            <w:pPr>
              <w:widowControl/>
              <w:jc w:val="center"/>
              <w:rPr>
                <w:rFonts w:ascii="宋体" w:hAnsi="宋体"/>
                <w:kern w:val="0"/>
                <w:sz w:val="18"/>
                <w:szCs w:val="18"/>
              </w:rPr>
            </w:pPr>
            <w:r>
              <w:rPr>
                <w:rFonts w:ascii="宋体" w:hAnsi="宋体"/>
                <w:kern w:val="0"/>
                <w:sz w:val="18"/>
                <w:szCs w:val="18"/>
              </w:rPr>
              <w:t>88</w:t>
            </w:r>
          </w:p>
        </w:tc>
        <w:tc>
          <w:tcPr>
            <w:tcW w:w="1220" w:type="dxa"/>
            <w:tcBorders>
              <w:top w:val="nil"/>
              <w:left w:val="nil"/>
              <w:bottom w:val="single" w:color="auto" w:sz="4" w:space="0"/>
              <w:right w:val="single" w:color="auto" w:sz="4" w:space="0"/>
            </w:tcBorders>
            <w:vAlign w:val="center"/>
          </w:tcPr>
          <w:p w14:paraId="14569BAB">
            <w:pPr>
              <w:widowControl/>
              <w:jc w:val="center"/>
              <w:rPr>
                <w:rFonts w:ascii="宋体" w:hAnsi="宋体"/>
                <w:kern w:val="0"/>
                <w:sz w:val="18"/>
                <w:szCs w:val="18"/>
              </w:rPr>
            </w:pPr>
            <w:r>
              <w:rPr>
                <w:rFonts w:ascii="宋体" w:hAnsi="宋体"/>
                <w:kern w:val="0"/>
                <w:sz w:val="18"/>
                <w:szCs w:val="18"/>
              </w:rPr>
              <w:t>安全要求</w:t>
            </w:r>
          </w:p>
        </w:tc>
        <w:tc>
          <w:tcPr>
            <w:tcW w:w="820" w:type="dxa"/>
            <w:vMerge w:val="restart"/>
            <w:tcBorders>
              <w:top w:val="nil"/>
              <w:left w:val="single" w:color="auto" w:sz="4" w:space="0"/>
              <w:bottom w:val="single" w:color="auto" w:sz="4" w:space="0"/>
              <w:right w:val="single" w:color="auto" w:sz="4" w:space="0"/>
            </w:tcBorders>
            <w:vAlign w:val="center"/>
          </w:tcPr>
          <w:p w14:paraId="599EB04F">
            <w:pPr>
              <w:widowControl/>
              <w:jc w:val="center"/>
              <w:rPr>
                <w:rFonts w:ascii="宋体" w:hAnsi="宋体"/>
                <w:kern w:val="0"/>
                <w:sz w:val="18"/>
                <w:szCs w:val="18"/>
              </w:rPr>
            </w:pPr>
            <w:r>
              <w:rPr>
                <w:rFonts w:ascii="宋体" w:hAnsi="宋体"/>
                <w:kern w:val="0"/>
                <w:sz w:val="18"/>
                <w:szCs w:val="18"/>
              </w:rPr>
              <w:t>系统安全要求</w:t>
            </w:r>
          </w:p>
        </w:tc>
        <w:tc>
          <w:tcPr>
            <w:tcW w:w="1320" w:type="dxa"/>
            <w:tcBorders>
              <w:top w:val="nil"/>
              <w:left w:val="nil"/>
              <w:bottom w:val="single" w:color="auto" w:sz="4" w:space="0"/>
              <w:right w:val="single" w:color="auto" w:sz="4" w:space="0"/>
            </w:tcBorders>
            <w:vAlign w:val="center"/>
          </w:tcPr>
          <w:p w14:paraId="37DEA197">
            <w:pPr>
              <w:widowControl/>
              <w:jc w:val="left"/>
              <w:rPr>
                <w:rFonts w:ascii="宋体" w:hAnsi="宋体"/>
                <w:kern w:val="0"/>
                <w:sz w:val="18"/>
                <w:szCs w:val="18"/>
              </w:rPr>
            </w:pPr>
            <w:r>
              <w:rPr>
                <w:rFonts w:ascii="宋体" w:hAnsi="宋体"/>
                <w:kern w:val="0"/>
                <w:sz w:val="18"/>
                <w:szCs w:val="18"/>
              </w:rPr>
              <w:t>syslog双向鉴别</w:t>
            </w:r>
          </w:p>
        </w:tc>
        <w:tc>
          <w:tcPr>
            <w:tcW w:w="8860" w:type="dxa"/>
            <w:tcBorders>
              <w:top w:val="nil"/>
              <w:left w:val="nil"/>
              <w:bottom w:val="single" w:color="auto" w:sz="4" w:space="0"/>
              <w:right w:val="single" w:color="auto" w:sz="4" w:space="0"/>
            </w:tcBorders>
            <w:vAlign w:val="center"/>
          </w:tcPr>
          <w:p w14:paraId="72E9DDFE">
            <w:pPr>
              <w:widowControl/>
              <w:jc w:val="left"/>
              <w:rPr>
                <w:rFonts w:ascii="宋体" w:hAnsi="宋体"/>
                <w:kern w:val="0"/>
                <w:sz w:val="18"/>
                <w:szCs w:val="18"/>
              </w:rPr>
            </w:pPr>
            <w:r>
              <w:rPr>
                <w:rFonts w:ascii="宋体" w:hAnsi="宋体"/>
                <w:kern w:val="0"/>
                <w:sz w:val="18"/>
                <w:szCs w:val="18"/>
              </w:rPr>
              <w:t>支持系统日志双向鉴别，对服务器根证书和客户端根证书进行鉴别</w:t>
            </w:r>
          </w:p>
        </w:tc>
      </w:tr>
      <w:tr w14:paraId="7A3D692D">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52DC9135">
            <w:pPr>
              <w:widowControl/>
              <w:jc w:val="center"/>
              <w:rPr>
                <w:rFonts w:ascii="宋体" w:hAnsi="宋体"/>
                <w:kern w:val="0"/>
                <w:sz w:val="18"/>
                <w:szCs w:val="18"/>
              </w:rPr>
            </w:pPr>
            <w:r>
              <w:rPr>
                <w:rFonts w:ascii="宋体" w:hAnsi="宋体"/>
                <w:kern w:val="0"/>
                <w:sz w:val="18"/>
                <w:szCs w:val="18"/>
              </w:rPr>
              <w:t>89</w:t>
            </w:r>
          </w:p>
        </w:tc>
        <w:tc>
          <w:tcPr>
            <w:tcW w:w="1220" w:type="dxa"/>
            <w:tcBorders>
              <w:top w:val="nil"/>
              <w:left w:val="nil"/>
              <w:bottom w:val="single" w:color="auto" w:sz="4" w:space="0"/>
              <w:right w:val="single" w:color="auto" w:sz="4" w:space="0"/>
            </w:tcBorders>
            <w:vAlign w:val="center"/>
          </w:tcPr>
          <w:p w14:paraId="72BB8C65">
            <w:pPr>
              <w:widowControl/>
              <w:jc w:val="center"/>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2005FF58">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2121A82A">
            <w:pPr>
              <w:widowControl/>
              <w:jc w:val="left"/>
              <w:rPr>
                <w:rFonts w:ascii="宋体" w:hAnsi="宋体"/>
                <w:kern w:val="0"/>
                <w:sz w:val="18"/>
                <w:szCs w:val="18"/>
              </w:rPr>
            </w:pPr>
            <w:r>
              <w:rPr>
                <w:rFonts w:ascii="宋体" w:hAnsi="宋体"/>
                <w:kern w:val="0"/>
                <w:sz w:val="18"/>
                <w:szCs w:val="18"/>
              </w:rPr>
              <w:t>★弱口令字典检查</w:t>
            </w:r>
          </w:p>
        </w:tc>
        <w:tc>
          <w:tcPr>
            <w:tcW w:w="8860" w:type="dxa"/>
            <w:tcBorders>
              <w:top w:val="nil"/>
              <w:left w:val="nil"/>
              <w:bottom w:val="single" w:color="auto" w:sz="4" w:space="0"/>
              <w:right w:val="single" w:color="auto" w:sz="4" w:space="0"/>
            </w:tcBorders>
            <w:vAlign w:val="center"/>
          </w:tcPr>
          <w:p w14:paraId="233D1AE4">
            <w:pPr>
              <w:widowControl/>
              <w:jc w:val="left"/>
              <w:rPr>
                <w:rFonts w:ascii="宋体" w:hAnsi="宋体"/>
                <w:kern w:val="0"/>
                <w:sz w:val="18"/>
                <w:szCs w:val="18"/>
              </w:rPr>
            </w:pPr>
            <w:r>
              <w:rPr>
                <w:rFonts w:ascii="宋体" w:hAnsi="宋体"/>
                <w:kern w:val="0"/>
                <w:sz w:val="18"/>
                <w:szCs w:val="18"/>
              </w:rPr>
              <w:t>支持弱口令字典检查功能，出现在弱口令字典中的字符串不能被设置为用户口令</w:t>
            </w:r>
          </w:p>
        </w:tc>
      </w:tr>
      <w:tr w14:paraId="79C021E1">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20F8E713">
            <w:pPr>
              <w:widowControl/>
              <w:jc w:val="center"/>
              <w:rPr>
                <w:rFonts w:ascii="宋体" w:hAnsi="宋体"/>
                <w:kern w:val="0"/>
                <w:sz w:val="18"/>
                <w:szCs w:val="18"/>
              </w:rPr>
            </w:pPr>
            <w:r>
              <w:rPr>
                <w:rFonts w:ascii="宋体" w:hAnsi="宋体"/>
                <w:kern w:val="0"/>
                <w:sz w:val="18"/>
                <w:szCs w:val="18"/>
              </w:rPr>
              <w:t>90</w:t>
            </w:r>
          </w:p>
        </w:tc>
        <w:tc>
          <w:tcPr>
            <w:tcW w:w="1220" w:type="dxa"/>
            <w:tcBorders>
              <w:top w:val="nil"/>
              <w:left w:val="nil"/>
              <w:bottom w:val="single" w:color="auto" w:sz="4" w:space="0"/>
              <w:right w:val="single" w:color="auto" w:sz="4" w:space="0"/>
            </w:tcBorders>
            <w:vAlign w:val="center"/>
          </w:tcPr>
          <w:p w14:paraId="07C583F8">
            <w:pPr>
              <w:widowControl/>
              <w:jc w:val="center"/>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3F64802F">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0D9662AB">
            <w:pPr>
              <w:widowControl/>
              <w:jc w:val="left"/>
              <w:rPr>
                <w:rFonts w:ascii="宋体" w:hAnsi="宋体"/>
                <w:kern w:val="0"/>
                <w:sz w:val="18"/>
                <w:szCs w:val="18"/>
              </w:rPr>
            </w:pPr>
            <w:r>
              <w:rPr>
                <w:rFonts w:ascii="宋体" w:hAnsi="宋体"/>
                <w:kern w:val="0"/>
                <w:sz w:val="18"/>
                <w:szCs w:val="18"/>
              </w:rPr>
              <w:t>★白名单访问控制</w:t>
            </w:r>
          </w:p>
        </w:tc>
        <w:tc>
          <w:tcPr>
            <w:tcW w:w="8860" w:type="dxa"/>
            <w:tcBorders>
              <w:top w:val="nil"/>
              <w:left w:val="nil"/>
              <w:bottom w:val="single" w:color="auto" w:sz="4" w:space="0"/>
              <w:right w:val="single" w:color="auto" w:sz="4" w:space="0"/>
            </w:tcBorders>
            <w:vAlign w:val="center"/>
          </w:tcPr>
          <w:p w14:paraId="5D53FA8F">
            <w:pPr>
              <w:widowControl/>
              <w:jc w:val="left"/>
              <w:rPr>
                <w:rFonts w:ascii="宋体" w:hAnsi="宋体"/>
                <w:kern w:val="0"/>
                <w:sz w:val="18"/>
                <w:szCs w:val="18"/>
              </w:rPr>
            </w:pPr>
            <w:r>
              <w:rPr>
                <w:rFonts w:ascii="宋体" w:hAnsi="宋体"/>
                <w:kern w:val="0"/>
                <w:sz w:val="18"/>
                <w:szCs w:val="18"/>
              </w:rPr>
              <w:t>支持弱口令字典检查功能，出现在弱口令字典中的字符串不能被设置为用户口令</w:t>
            </w:r>
          </w:p>
        </w:tc>
      </w:tr>
      <w:tr w14:paraId="590B402C">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5AE09E16">
            <w:pPr>
              <w:widowControl/>
              <w:jc w:val="center"/>
              <w:rPr>
                <w:rFonts w:ascii="宋体" w:hAnsi="宋体"/>
                <w:kern w:val="0"/>
                <w:sz w:val="18"/>
                <w:szCs w:val="18"/>
              </w:rPr>
            </w:pPr>
            <w:r>
              <w:rPr>
                <w:rFonts w:ascii="宋体" w:hAnsi="宋体"/>
                <w:kern w:val="0"/>
                <w:sz w:val="18"/>
                <w:szCs w:val="18"/>
              </w:rPr>
              <w:t>91</w:t>
            </w:r>
          </w:p>
        </w:tc>
        <w:tc>
          <w:tcPr>
            <w:tcW w:w="1220" w:type="dxa"/>
            <w:tcBorders>
              <w:top w:val="nil"/>
              <w:left w:val="nil"/>
              <w:bottom w:val="single" w:color="auto" w:sz="4" w:space="0"/>
              <w:right w:val="single" w:color="auto" w:sz="4" w:space="0"/>
            </w:tcBorders>
            <w:vAlign w:val="center"/>
          </w:tcPr>
          <w:p w14:paraId="761D9AD0">
            <w:pPr>
              <w:widowControl/>
              <w:jc w:val="center"/>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68C9222F">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07315266">
            <w:pPr>
              <w:widowControl/>
              <w:jc w:val="left"/>
              <w:rPr>
                <w:rFonts w:ascii="宋体" w:hAnsi="宋体"/>
                <w:kern w:val="0"/>
                <w:sz w:val="18"/>
                <w:szCs w:val="18"/>
              </w:rPr>
            </w:pPr>
            <w:r>
              <w:rPr>
                <w:rFonts w:ascii="宋体" w:hAnsi="宋体"/>
                <w:kern w:val="0"/>
                <w:sz w:val="18"/>
                <w:szCs w:val="18"/>
              </w:rPr>
              <w:t>双因素鉴别</w:t>
            </w:r>
          </w:p>
        </w:tc>
        <w:tc>
          <w:tcPr>
            <w:tcW w:w="8860" w:type="dxa"/>
            <w:tcBorders>
              <w:top w:val="nil"/>
              <w:left w:val="nil"/>
              <w:bottom w:val="single" w:color="auto" w:sz="4" w:space="0"/>
              <w:right w:val="single" w:color="auto" w:sz="4" w:space="0"/>
            </w:tcBorders>
            <w:vAlign w:val="center"/>
          </w:tcPr>
          <w:p w14:paraId="0A32C70F">
            <w:pPr>
              <w:widowControl/>
              <w:jc w:val="left"/>
              <w:rPr>
                <w:rFonts w:ascii="宋体" w:hAnsi="宋体"/>
                <w:kern w:val="0"/>
                <w:sz w:val="18"/>
                <w:szCs w:val="18"/>
              </w:rPr>
            </w:pPr>
            <w:r>
              <w:rPr>
                <w:rFonts w:ascii="宋体" w:hAnsi="宋体"/>
                <w:kern w:val="0"/>
                <w:sz w:val="18"/>
                <w:szCs w:val="18"/>
              </w:rPr>
              <w:t>支持使用客户端证书和证书密码的双因素鉴别方式登录管理系统</w:t>
            </w:r>
          </w:p>
        </w:tc>
      </w:tr>
      <w:tr w14:paraId="74CC2905">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1FA9BAE4">
            <w:pPr>
              <w:widowControl/>
              <w:jc w:val="center"/>
              <w:rPr>
                <w:rFonts w:ascii="宋体" w:hAnsi="宋体"/>
                <w:kern w:val="0"/>
                <w:sz w:val="18"/>
                <w:szCs w:val="18"/>
              </w:rPr>
            </w:pPr>
            <w:r>
              <w:rPr>
                <w:rFonts w:ascii="宋体" w:hAnsi="宋体"/>
                <w:kern w:val="0"/>
                <w:sz w:val="18"/>
                <w:szCs w:val="18"/>
              </w:rPr>
              <w:t>92</w:t>
            </w:r>
          </w:p>
        </w:tc>
        <w:tc>
          <w:tcPr>
            <w:tcW w:w="1220" w:type="dxa"/>
            <w:tcBorders>
              <w:top w:val="nil"/>
              <w:left w:val="nil"/>
              <w:bottom w:val="single" w:color="auto" w:sz="4" w:space="0"/>
              <w:right w:val="single" w:color="auto" w:sz="4" w:space="0"/>
            </w:tcBorders>
            <w:vAlign w:val="center"/>
          </w:tcPr>
          <w:p w14:paraId="4D738DAD">
            <w:pPr>
              <w:widowControl/>
              <w:jc w:val="center"/>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650EFF4F">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0B657542">
            <w:pPr>
              <w:widowControl/>
              <w:jc w:val="left"/>
              <w:rPr>
                <w:rFonts w:ascii="宋体" w:hAnsi="宋体"/>
                <w:kern w:val="0"/>
                <w:sz w:val="18"/>
                <w:szCs w:val="18"/>
              </w:rPr>
            </w:pPr>
            <w:r>
              <w:rPr>
                <w:rFonts w:ascii="宋体" w:hAnsi="宋体"/>
                <w:kern w:val="0"/>
                <w:sz w:val="18"/>
                <w:szCs w:val="18"/>
              </w:rPr>
              <w:t>★二次鉴别</w:t>
            </w:r>
          </w:p>
        </w:tc>
        <w:tc>
          <w:tcPr>
            <w:tcW w:w="8860" w:type="dxa"/>
            <w:tcBorders>
              <w:top w:val="nil"/>
              <w:left w:val="nil"/>
              <w:bottom w:val="single" w:color="auto" w:sz="4" w:space="0"/>
              <w:right w:val="single" w:color="auto" w:sz="4" w:space="0"/>
            </w:tcBorders>
            <w:vAlign w:val="center"/>
          </w:tcPr>
          <w:p w14:paraId="4E502C9C">
            <w:pPr>
              <w:widowControl/>
              <w:jc w:val="left"/>
              <w:rPr>
                <w:rFonts w:ascii="宋体" w:hAnsi="宋体"/>
                <w:kern w:val="0"/>
                <w:sz w:val="18"/>
                <w:szCs w:val="18"/>
              </w:rPr>
            </w:pPr>
            <w:r>
              <w:rPr>
                <w:rFonts w:ascii="宋体" w:hAnsi="宋体"/>
                <w:kern w:val="0"/>
                <w:sz w:val="18"/>
                <w:szCs w:val="18"/>
              </w:rPr>
              <w:t>支持二次鉴别功能。对于用户配置、权限配置、公钥导入等重要的管理操作，已登录用户应通过二次鉴别后，才能执行操作</w:t>
            </w:r>
          </w:p>
        </w:tc>
      </w:tr>
      <w:tr w14:paraId="155531C2">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574EA88A">
            <w:pPr>
              <w:widowControl/>
              <w:jc w:val="center"/>
              <w:rPr>
                <w:rFonts w:ascii="宋体" w:hAnsi="宋体"/>
                <w:kern w:val="0"/>
                <w:sz w:val="18"/>
                <w:szCs w:val="18"/>
              </w:rPr>
            </w:pPr>
            <w:r>
              <w:rPr>
                <w:rFonts w:ascii="宋体" w:hAnsi="宋体"/>
                <w:kern w:val="0"/>
                <w:sz w:val="18"/>
                <w:szCs w:val="18"/>
              </w:rPr>
              <w:t>93</w:t>
            </w:r>
          </w:p>
        </w:tc>
        <w:tc>
          <w:tcPr>
            <w:tcW w:w="1220" w:type="dxa"/>
            <w:tcBorders>
              <w:top w:val="nil"/>
              <w:left w:val="nil"/>
              <w:bottom w:val="single" w:color="auto" w:sz="4" w:space="0"/>
              <w:right w:val="single" w:color="auto" w:sz="4" w:space="0"/>
            </w:tcBorders>
            <w:vAlign w:val="center"/>
          </w:tcPr>
          <w:p w14:paraId="7FA49C8E">
            <w:pPr>
              <w:widowControl/>
              <w:jc w:val="center"/>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6916FF66">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3250EA29">
            <w:pPr>
              <w:widowControl/>
              <w:jc w:val="left"/>
              <w:rPr>
                <w:rFonts w:ascii="宋体" w:hAnsi="宋体"/>
                <w:kern w:val="0"/>
                <w:sz w:val="18"/>
                <w:szCs w:val="18"/>
              </w:rPr>
            </w:pPr>
            <w:r>
              <w:rPr>
                <w:rFonts w:ascii="宋体" w:hAnsi="宋体"/>
                <w:kern w:val="0"/>
                <w:sz w:val="18"/>
                <w:szCs w:val="18"/>
              </w:rPr>
              <w:t>匿名化用户告警接收邮箱</w:t>
            </w:r>
          </w:p>
        </w:tc>
        <w:tc>
          <w:tcPr>
            <w:tcW w:w="8860" w:type="dxa"/>
            <w:tcBorders>
              <w:top w:val="nil"/>
              <w:left w:val="nil"/>
              <w:bottom w:val="single" w:color="auto" w:sz="4" w:space="0"/>
              <w:right w:val="single" w:color="auto" w:sz="4" w:space="0"/>
            </w:tcBorders>
            <w:vAlign w:val="center"/>
          </w:tcPr>
          <w:p w14:paraId="6533F545">
            <w:pPr>
              <w:widowControl/>
              <w:jc w:val="left"/>
              <w:rPr>
                <w:rFonts w:ascii="宋体" w:hAnsi="宋体"/>
                <w:kern w:val="0"/>
                <w:sz w:val="18"/>
                <w:szCs w:val="18"/>
              </w:rPr>
            </w:pPr>
            <w:r>
              <w:rPr>
                <w:rFonts w:ascii="宋体" w:hAnsi="宋体"/>
                <w:kern w:val="0"/>
                <w:sz w:val="18"/>
                <w:szCs w:val="18"/>
              </w:rPr>
              <w:t>支持带外管理系统中的用户告警接收邮箱进行匿名化处理</w:t>
            </w:r>
          </w:p>
        </w:tc>
      </w:tr>
      <w:tr w14:paraId="05DF529B">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0062A337">
            <w:pPr>
              <w:widowControl/>
              <w:jc w:val="center"/>
              <w:rPr>
                <w:rFonts w:ascii="宋体" w:hAnsi="宋体"/>
                <w:kern w:val="0"/>
                <w:sz w:val="18"/>
                <w:szCs w:val="18"/>
              </w:rPr>
            </w:pPr>
            <w:r>
              <w:rPr>
                <w:rFonts w:ascii="宋体" w:hAnsi="宋体"/>
                <w:kern w:val="0"/>
                <w:sz w:val="18"/>
                <w:szCs w:val="18"/>
              </w:rPr>
              <w:t>94</w:t>
            </w:r>
          </w:p>
        </w:tc>
        <w:tc>
          <w:tcPr>
            <w:tcW w:w="1220" w:type="dxa"/>
            <w:tcBorders>
              <w:top w:val="nil"/>
              <w:left w:val="nil"/>
              <w:bottom w:val="single" w:color="auto" w:sz="4" w:space="0"/>
              <w:right w:val="single" w:color="auto" w:sz="4" w:space="0"/>
            </w:tcBorders>
            <w:vAlign w:val="center"/>
          </w:tcPr>
          <w:p w14:paraId="631C303F">
            <w:pPr>
              <w:widowControl/>
              <w:jc w:val="center"/>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4B73D4BA">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35B4C4C1">
            <w:pPr>
              <w:widowControl/>
              <w:jc w:val="left"/>
              <w:rPr>
                <w:rFonts w:ascii="宋体" w:hAnsi="宋体"/>
                <w:kern w:val="0"/>
                <w:sz w:val="18"/>
                <w:szCs w:val="18"/>
              </w:rPr>
            </w:pPr>
            <w:r>
              <w:rPr>
                <w:rFonts w:ascii="宋体" w:hAnsi="宋体"/>
                <w:kern w:val="0"/>
                <w:sz w:val="18"/>
                <w:szCs w:val="18"/>
              </w:rPr>
              <w:t>★密码证书安全加密存储</w:t>
            </w:r>
          </w:p>
        </w:tc>
        <w:tc>
          <w:tcPr>
            <w:tcW w:w="8860" w:type="dxa"/>
            <w:tcBorders>
              <w:top w:val="nil"/>
              <w:left w:val="nil"/>
              <w:bottom w:val="single" w:color="auto" w:sz="4" w:space="0"/>
              <w:right w:val="single" w:color="auto" w:sz="4" w:space="0"/>
            </w:tcBorders>
            <w:vAlign w:val="center"/>
          </w:tcPr>
          <w:p w14:paraId="72ECEA24">
            <w:pPr>
              <w:widowControl/>
              <w:jc w:val="left"/>
              <w:rPr>
                <w:rFonts w:ascii="宋体" w:hAnsi="宋体"/>
                <w:kern w:val="0"/>
                <w:sz w:val="18"/>
                <w:szCs w:val="18"/>
              </w:rPr>
            </w:pPr>
            <w:r>
              <w:rPr>
                <w:rFonts w:ascii="宋体" w:hAnsi="宋体"/>
                <w:kern w:val="0"/>
                <w:sz w:val="18"/>
                <w:szCs w:val="18"/>
              </w:rPr>
              <w:t>支持对带外管理系统中的用户口令和证书等敏感信息进行加密存储，禁止使用私有的和业界已知不安全的密码算法</w:t>
            </w:r>
          </w:p>
        </w:tc>
      </w:tr>
      <w:tr w14:paraId="4F442071">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6370AA98">
            <w:pPr>
              <w:widowControl/>
              <w:jc w:val="center"/>
              <w:rPr>
                <w:rFonts w:ascii="宋体" w:hAnsi="宋体"/>
                <w:kern w:val="0"/>
                <w:sz w:val="18"/>
                <w:szCs w:val="18"/>
              </w:rPr>
            </w:pPr>
            <w:r>
              <w:rPr>
                <w:rFonts w:ascii="宋体" w:hAnsi="宋体"/>
                <w:kern w:val="0"/>
                <w:sz w:val="18"/>
                <w:szCs w:val="18"/>
              </w:rPr>
              <w:t>95</w:t>
            </w:r>
          </w:p>
        </w:tc>
        <w:tc>
          <w:tcPr>
            <w:tcW w:w="1220" w:type="dxa"/>
            <w:tcBorders>
              <w:top w:val="nil"/>
              <w:left w:val="nil"/>
              <w:bottom w:val="single" w:color="auto" w:sz="4" w:space="0"/>
              <w:right w:val="single" w:color="auto" w:sz="4" w:space="0"/>
            </w:tcBorders>
            <w:vAlign w:val="center"/>
          </w:tcPr>
          <w:p w14:paraId="744D8273">
            <w:pPr>
              <w:widowControl/>
              <w:jc w:val="center"/>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5C9271EF">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7929B6E9">
            <w:pPr>
              <w:widowControl/>
              <w:jc w:val="left"/>
              <w:rPr>
                <w:rFonts w:ascii="宋体" w:hAnsi="宋体"/>
                <w:kern w:val="0"/>
                <w:sz w:val="18"/>
                <w:szCs w:val="18"/>
              </w:rPr>
            </w:pPr>
            <w:r>
              <w:rPr>
                <w:rFonts w:ascii="宋体" w:hAnsi="宋体"/>
                <w:kern w:val="0"/>
                <w:sz w:val="18"/>
                <w:szCs w:val="18"/>
              </w:rPr>
              <w:t>★敏感信息安全加密传输</w:t>
            </w:r>
          </w:p>
        </w:tc>
        <w:tc>
          <w:tcPr>
            <w:tcW w:w="8860" w:type="dxa"/>
            <w:tcBorders>
              <w:top w:val="nil"/>
              <w:left w:val="nil"/>
              <w:bottom w:val="single" w:color="auto" w:sz="4" w:space="0"/>
              <w:right w:val="single" w:color="auto" w:sz="4" w:space="0"/>
            </w:tcBorders>
            <w:vAlign w:val="center"/>
          </w:tcPr>
          <w:p w14:paraId="505B07B9">
            <w:pPr>
              <w:widowControl/>
              <w:jc w:val="left"/>
              <w:rPr>
                <w:rFonts w:ascii="宋体" w:hAnsi="宋体"/>
                <w:kern w:val="0"/>
                <w:sz w:val="18"/>
                <w:szCs w:val="18"/>
              </w:rPr>
            </w:pPr>
            <w:r>
              <w:rPr>
                <w:rFonts w:ascii="宋体" w:hAnsi="宋体"/>
                <w:kern w:val="0"/>
                <w:sz w:val="18"/>
                <w:szCs w:val="18"/>
              </w:rPr>
              <w:t>支持使用安全的传输加密协议（如SSH或HTTPS等）传输用户的敏感信息</w:t>
            </w:r>
          </w:p>
        </w:tc>
      </w:tr>
      <w:tr w14:paraId="50B7BC82">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039D7FE6">
            <w:pPr>
              <w:widowControl/>
              <w:jc w:val="center"/>
              <w:rPr>
                <w:rFonts w:ascii="宋体" w:hAnsi="宋体"/>
                <w:kern w:val="0"/>
                <w:sz w:val="18"/>
                <w:szCs w:val="18"/>
              </w:rPr>
            </w:pPr>
            <w:r>
              <w:rPr>
                <w:rFonts w:ascii="宋体" w:hAnsi="宋体"/>
                <w:kern w:val="0"/>
                <w:sz w:val="18"/>
                <w:szCs w:val="18"/>
              </w:rPr>
              <w:t>96</w:t>
            </w:r>
          </w:p>
        </w:tc>
        <w:tc>
          <w:tcPr>
            <w:tcW w:w="1220" w:type="dxa"/>
            <w:tcBorders>
              <w:top w:val="nil"/>
              <w:left w:val="nil"/>
              <w:bottom w:val="single" w:color="auto" w:sz="4" w:space="0"/>
              <w:right w:val="single" w:color="auto" w:sz="4" w:space="0"/>
            </w:tcBorders>
            <w:vAlign w:val="center"/>
          </w:tcPr>
          <w:p w14:paraId="4C403CCC">
            <w:pPr>
              <w:widowControl/>
              <w:jc w:val="center"/>
              <w:rPr>
                <w:rFonts w:ascii="宋体" w:hAnsi="宋体"/>
                <w:kern w:val="0"/>
                <w:sz w:val="18"/>
                <w:szCs w:val="18"/>
              </w:rPr>
            </w:pPr>
            <w:r>
              <w:rPr>
                <w:rFonts w:ascii="宋体" w:hAnsi="宋体"/>
                <w:kern w:val="0"/>
                <w:sz w:val="18"/>
                <w:szCs w:val="18"/>
              </w:rPr>
              <w:t>安全要求</w:t>
            </w:r>
          </w:p>
        </w:tc>
        <w:tc>
          <w:tcPr>
            <w:tcW w:w="820" w:type="dxa"/>
            <w:vMerge w:val="restart"/>
            <w:tcBorders>
              <w:top w:val="nil"/>
              <w:left w:val="single" w:color="auto" w:sz="4" w:space="0"/>
              <w:bottom w:val="single" w:color="auto" w:sz="4" w:space="0"/>
              <w:right w:val="single" w:color="auto" w:sz="4" w:space="0"/>
            </w:tcBorders>
            <w:vAlign w:val="center"/>
          </w:tcPr>
          <w:p w14:paraId="57693852">
            <w:pPr>
              <w:widowControl/>
              <w:jc w:val="center"/>
              <w:rPr>
                <w:rFonts w:ascii="宋体" w:hAnsi="宋体"/>
                <w:kern w:val="0"/>
                <w:sz w:val="18"/>
                <w:szCs w:val="18"/>
              </w:rPr>
            </w:pPr>
            <w:r>
              <w:rPr>
                <w:rFonts w:ascii="宋体" w:hAnsi="宋体"/>
                <w:kern w:val="0"/>
                <w:sz w:val="18"/>
                <w:szCs w:val="18"/>
              </w:rPr>
              <w:t>信息安全要求</w:t>
            </w:r>
          </w:p>
        </w:tc>
        <w:tc>
          <w:tcPr>
            <w:tcW w:w="1320" w:type="dxa"/>
            <w:tcBorders>
              <w:top w:val="nil"/>
              <w:left w:val="nil"/>
              <w:bottom w:val="single" w:color="auto" w:sz="4" w:space="0"/>
              <w:right w:val="single" w:color="auto" w:sz="4" w:space="0"/>
            </w:tcBorders>
            <w:vAlign w:val="center"/>
          </w:tcPr>
          <w:p w14:paraId="7AA2964D">
            <w:pPr>
              <w:widowControl/>
              <w:jc w:val="left"/>
              <w:rPr>
                <w:rFonts w:ascii="宋体" w:hAnsi="宋体"/>
                <w:kern w:val="0"/>
                <w:sz w:val="18"/>
                <w:szCs w:val="18"/>
              </w:rPr>
            </w:pPr>
            <w:r>
              <w:rPr>
                <w:rFonts w:ascii="宋体" w:hAnsi="宋体"/>
                <w:kern w:val="0"/>
                <w:sz w:val="18"/>
                <w:szCs w:val="18"/>
              </w:rPr>
              <w:t>★研发过程安全</w:t>
            </w:r>
          </w:p>
        </w:tc>
        <w:tc>
          <w:tcPr>
            <w:tcW w:w="8860" w:type="dxa"/>
            <w:tcBorders>
              <w:top w:val="nil"/>
              <w:left w:val="nil"/>
              <w:bottom w:val="single" w:color="auto" w:sz="4" w:space="0"/>
              <w:right w:val="single" w:color="auto" w:sz="4" w:space="0"/>
            </w:tcBorders>
            <w:vAlign w:val="center"/>
          </w:tcPr>
          <w:p w14:paraId="4A6CF31F">
            <w:pPr>
              <w:widowControl/>
              <w:jc w:val="left"/>
              <w:rPr>
                <w:rFonts w:ascii="宋体" w:hAnsi="宋体"/>
                <w:kern w:val="0"/>
                <w:sz w:val="18"/>
                <w:szCs w:val="18"/>
              </w:rPr>
            </w:pPr>
            <w:r>
              <w:rPr>
                <w:rFonts w:ascii="宋体" w:hAnsi="宋体"/>
                <w:kern w:val="0"/>
                <w:sz w:val="18"/>
                <w:szCs w:val="18"/>
              </w:rPr>
              <w:t>供应商承诺，生产商已建立从需求、设计、开发、测试、维护端到端的开发流程管理机制，输出和保存开发流程中每个阶段的产品需求清单、设计文档、开发文档、测试记录等材料，保证各个流程可追溯</w:t>
            </w:r>
          </w:p>
        </w:tc>
      </w:tr>
      <w:tr w14:paraId="77DC6D03">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33C7B5AC">
            <w:pPr>
              <w:widowControl/>
              <w:jc w:val="center"/>
              <w:rPr>
                <w:rFonts w:ascii="宋体" w:hAnsi="宋体"/>
                <w:kern w:val="0"/>
                <w:sz w:val="18"/>
                <w:szCs w:val="18"/>
              </w:rPr>
            </w:pPr>
            <w:r>
              <w:rPr>
                <w:rFonts w:ascii="宋体" w:hAnsi="宋体"/>
                <w:kern w:val="0"/>
                <w:sz w:val="18"/>
                <w:szCs w:val="18"/>
              </w:rPr>
              <w:t>97</w:t>
            </w:r>
          </w:p>
        </w:tc>
        <w:tc>
          <w:tcPr>
            <w:tcW w:w="1220" w:type="dxa"/>
            <w:tcBorders>
              <w:top w:val="nil"/>
              <w:left w:val="nil"/>
              <w:bottom w:val="single" w:color="auto" w:sz="4" w:space="0"/>
              <w:right w:val="single" w:color="auto" w:sz="4" w:space="0"/>
            </w:tcBorders>
            <w:vAlign w:val="center"/>
          </w:tcPr>
          <w:p w14:paraId="0F915749">
            <w:pPr>
              <w:widowControl/>
              <w:jc w:val="center"/>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55CE5027">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66E5D0B1">
            <w:pPr>
              <w:widowControl/>
              <w:jc w:val="left"/>
              <w:rPr>
                <w:rFonts w:ascii="宋体" w:hAnsi="宋体"/>
                <w:kern w:val="0"/>
                <w:sz w:val="18"/>
                <w:szCs w:val="18"/>
              </w:rPr>
            </w:pPr>
            <w:r>
              <w:rPr>
                <w:rFonts w:ascii="宋体" w:hAnsi="宋体"/>
                <w:kern w:val="0"/>
                <w:sz w:val="18"/>
                <w:szCs w:val="18"/>
              </w:rPr>
              <w:t>漏洞管理</w:t>
            </w:r>
          </w:p>
        </w:tc>
        <w:tc>
          <w:tcPr>
            <w:tcW w:w="8860" w:type="dxa"/>
            <w:tcBorders>
              <w:top w:val="nil"/>
              <w:left w:val="nil"/>
              <w:bottom w:val="single" w:color="auto" w:sz="4" w:space="0"/>
              <w:right w:val="single" w:color="auto" w:sz="4" w:space="0"/>
            </w:tcBorders>
            <w:vAlign w:val="center"/>
          </w:tcPr>
          <w:p w14:paraId="1983FF0E">
            <w:pPr>
              <w:widowControl/>
              <w:jc w:val="left"/>
              <w:rPr>
                <w:rFonts w:ascii="宋体" w:hAnsi="宋体"/>
                <w:kern w:val="0"/>
                <w:sz w:val="18"/>
                <w:szCs w:val="18"/>
              </w:rPr>
            </w:pPr>
            <w:r>
              <w:rPr>
                <w:rFonts w:ascii="宋体" w:hAnsi="宋体"/>
                <w:kern w:val="0"/>
                <w:sz w:val="18"/>
                <w:szCs w:val="18"/>
              </w:rPr>
              <w:t>供应商承诺，生产商已建立漏洞全量视图，保证产品版本涉及到的所有漏洞(如驱动程序、BMC软件等)都可以查看</w:t>
            </w:r>
          </w:p>
        </w:tc>
      </w:tr>
      <w:tr w14:paraId="580D680E">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5E4EFD61">
            <w:pPr>
              <w:widowControl/>
              <w:jc w:val="center"/>
              <w:rPr>
                <w:rFonts w:ascii="宋体" w:hAnsi="宋体"/>
                <w:kern w:val="0"/>
                <w:sz w:val="18"/>
                <w:szCs w:val="18"/>
              </w:rPr>
            </w:pPr>
            <w:r>
              <w:rPr>
                <w:rFonts w:ascii="宋体" w:hAnsi="宋体"/>
                <w:kern w:val="0"/>
                <w:sz w:val="18"/>
                <w:szCs w:val="18"/>
              </w:rPr>
              <w:t>98</w:t>
            </w:r>
          </w:p>
        </w:tc>
        <w:tc>
          <w:tcPr>
            <w:tcW w:w="1220" w:type="dxa"/>
            <w:tcBorders>
              <w:top w:val="nil"/>
              <w:left w:val="nil"/>
              <w:bottom w:val="single" w:color="auto" w:sz="4" w:space="0"/>
              <w:right w:val="single" w:color="auto" w:sz="4" w:space="0"/>
            </w:tcBorders>
            <w:vAlign w:val="center"/>
          </w:tcPr>
          <w:p w14:paraId="175B64A8">
            <w:pPr>
              <w:widowControl/>
              <w:jc w:val="center"/>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28314285">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04D1B8B8">
            <w:pPr>
              <w:widowControl/>
              <w:jc w:val="left"/>
              <w:rPr>
                <w:rFonts w:ascii="宋体" w:hAnsi="宋体"/>
                <w:kern w:val="0"/>
                <w:sz w:val="18"/>
                <w:szCs w:val="18"/>
              </w:rPr>
            </w:pPr>
            <w:r>
              <w:rPr>
                <w:rFonts w:ascii="宋体" w:hAnsi="宋体"/>
                <w:kern w:val="0"/>
                <w:sz w:val="18"/>
                <w:szCs w:val="18"/>
              </w:rPr>
              <w:t>网络关键设备服务器要求</w:t>
            </w:r>
          </w:p>
        </w:tc>
        <w:tc>
          <w:tcPr>
            <w:tcW w:w="8860" w:type="dxa"/>
            <w:tcBorders>
              <w:top w:val="nil"/>
              <w:left w:val="nil"/>
              <w:bottom w:val="single" w:color="auto" w:sz="4" w:space="0"/>
              <w:right w:val="single" w:color="auto" w:sz="4" w:space="0"/>
            </w:tcBorders>
            <w:vAlign w:val="center"/>
          </w:tcPr>
          <w:p w14:paraId="7CA81A7F">
            <w:pPr>
              <w:widowControl/>
              <w:jc w:val="left"/>
              <w:rPr>
                <w:rFonts w:ascii="宋体" w:hAnsi="宋体"/>
                <w:kern w:val="0"/>
                <w:sz w:val="18"/>
                <w:szCs w:val="18"/>
              </w:rPr>
            </w:pPr>
            <w:r>
              <w:rPr>
                <w:rFonts w:ascii="宋体" w:hAnsi="宋体"/>
                <w:kern w:val="0"/>
                <w:sz w:val="18"/>
                <w:szCs w:val="18"/>
              </w:rPr>
              <w:t>作为网络关键设备的服务器应符合GB40050的相关规定</w:t>
            </w:r>
          </w:p>
        </w:tc>
      </w:tr>
      <w:tr w14:paraId="145CC7F7">
        <w:tblPrEx>
          <w:tblCellMar>
            <w:top w:w="0" w:type="dxa"/>
            <w:left w:w="108" w:type="dxa"/>
            <w:bottom w:w="0" w:type="dxa"/>
            <w:right w:w="108" w:type="dxa"/>
          </w:tblCellMar>
        </w:tblPrEx>
        <w:trPr>
          <w:trHeight w:val="1158" w:hRule="atLeast"/>
        </w:trPr>
        <w:tc>
          <w:tcPr>
            <w:tcW w:w="480" w:type="dxa"/>
            <w:tcBorders>
              <w:top w:val="nil"/>
              <w:left w:val="single" w:color="auto" w:sz="4" w:space="0"/>
              <w:bottom w:val="single" w:color="auto" w:sz="4" w:space="0"/>
              <w:right w:val="single" w:color="auto" w:sz="4" w:space="0"/>
            </w:tcBorders>
            <w:vAlign w:val="center"/>
          </w:tcPr>
          <w:p w14:paraId="155DCCE9">
            <w:pPr>
              <w:widowControl/>
              <w:jc w:val="center"/>
              <w:rPr>
                <w:rFonts w:ascii="宋体" w:hAnsi="宋体"/>
                <w:kern w:val="0"/>
                <w:sz w:val="18"/>
                <w:szCs w:val="18"/>
              </w:rPr>
            </w:pPr>
            <w:r>
              <w:rPr>
                <w:rFonts w:ascii="宋体" w:hAnsi="宋体"/>
                <w:kern w:val="0"/>
                <w:sz w:val="18"/>
                <w:szCs w:val="18"/>
              </w:rPr>
              <w:t>99</w:t>
            </w:r>
          </w:p>
        </w:tc>
        <w:tc>
          <w:tcPr>
            <w:tcW w:w="1220" w:type="dxa"/>
            <w:tcBorders>
              <w:top w:val="nil"/>
              <w:left w:val="nil"/>
              <w:bottom w:val="single" w:color="auto" w:sz="4" w:space="0"/>
              <w:right w:val="single" w:color="auto" w:sz="4" w:space="0"/>
            </w:tcBorders>
            <w:vAlign w:val="center"/>
          </w:tcPr>
          <w:p w14:paraId="4A8AC8BB">
            <w:pPr>
              <w:widowControl/>
              <w:jc w:val="center"/>
              <w:rPr>
                <w:rFonts w:ascii="宋体" w:hAnsi="宋体"/>
                <w:kern w:val="0"/>
                <w:sz w:val="18"/>
                <w:szCs w:val="18"/>
              </w:rPr>
            </w:pPr>
            <w:r>
              <w:rPr>
                <w:rFonts w:ascii="宋体" w:hAnsi="宋体"/>
                <w:kern w:val="0"/>
                <w:sz w:val="18"/>
                <w:szCs w:val="18"/>
              </w:rPr>
              <w:t>安全要求</w:t>
            </w:r>
          </w:p>
        </w:tc>
        <w:tc>
          <w:tcPr>
            <w:tcW w:w="820" w:type="dxa"/>
            <w:vMerge w:val="continue"/>
            <w:tcBorders>
              <w:top w:val="nil"/>
              <w:left w:val="single" w:color="auto" w:sz="4" w:space="0"/>
              <w:bottom w:val="single" w:color="auto" w:sz="4" w:space="0"/>
              <w:right w:val="single" w:color="auto" w:sz="4" w:space="0"/>
            </w:tcBorders>
            <w:vAlign w:val="center"/>
          </w:tcPr>
          <w:p w14:paraId="49438FB7">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3FED3AE5">
            <w:pPr>
              <w:widowControl/>
              <w:jc w:val="left"/>
              <w:rPr>
                <w:rFonts w:ascii="宋体" w:hAnsi="宋体"/>
                <w:kern w:val="0"/>
                <w:sz w:val="18"/>
                <w:szCs w:val="18"/>
              </w:rPr>
            </w:pPr>
            <w:r>
              <w:rPr>
                <w:rFonts w:ascii="宋体" w:hAnsi="宋体"/>
                <w:kern w:val="0"/>
                <w:sz w:val="18"/>
                <w:szCs w:val="18"/>
              </w:rPr>
              <w:t>增强要求</w:t>
            </w:r>
          </w:p>
        </w:tc>
        <w:tc>
          <w:tcPr>
            <w:tcW w:w="8860" w:type="dxa"/>
            <w:tcBorders>
              <w:top w:val="nil"/>
              <w:left w:val="nil"/>
              <w:bottom w:val="single" w:color="auto" w:sz="4" w:space="0"/>
              <w:right w:val="single" w:color="auto" w:sz="4" w:space="0"/>
            </w:tcBorders>
            <w:vAlign w:val="center"/>
          </w:tcPr>
          <w:p w14:paraId="0AF92DC0">
            <w:pPr>
              <w:widowControl/>
              <w:jc w:val="left"/>
              <w:rPr>
                <w:rFonts w:ascii="宋体" w:hAnsi="宋体"/>
                <w:kern w:val="0"/>
                <w:sz w:val="18"/>
                <w:szCs w:val="18"/>
              </w:rPr>
            </w:pPr>
            <w:r>
              <w:rPr>
                <w:rFonts w:ascii="宋体" w:hAnsi="宋体"/>
                <w:kern w:val="0"/>
                <w:sz w:val="18"/>
                <w:szCs w:val="18"/>
              </w:rPr>
              <w:t>a)嵌入物理可信根，实现设备的信任链构建；b)支持可信平台控制模块(TPCM)；c)支持在固件系统（BMC、BIOS）启动前实现对固件度量的功能，支持物理可信根对BMC固件或BIOS固件进行完整性检测、更新和恢复；d)支持对CPU、网络控制器等关键处理器进行身份识别与度量的功能；e)支持基于处理器或可信计算模块度量的功能；f)所采用的可信密码模块接口应符合GM/T0012的相关规定；g)可信安全管理模块、处理器等硬件载体应通过国家相关部门的认证和许可</w:t>
            </w:r>
          </w:p>
        </w:tc>
      </w:tr>
      <w:tr w14:paraId="25BF9A7E">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466FFE76">
            <w:pPr>
              <w:widowControl/>
              <w:jc w:val="center"/>
              <w:rPr>
                <w:rFonts w:ascii="宋体" w:hAnsi="宋体"/>
                <w:kern w:val="0"/>
                <w:sz w:val="18"/>
                <w:szCs w:val="18"/>
              </w:rPr>
            </w:pPr>
            <w:r>
              <w:rPr>
                <w:rFonts w:ascii="宋体" w:hAnsi="宋体"/>
                <w:kern w:val="0"/>
                <w:sz w:val="18"/>
                <w:szCs w:val="18"/>
              </w:rPr>
              <w:t>100</w:t>
            </w:r>
          </w:p>
        </w:tc>
        <w:tc>
          <w:tcPr>
            <w:tcW w:w="1220" w:type="dxa"/>
            <w:tcBorders>
              <w:top w:val="nil"/>
              <w:left w:val="nil"/>
              <w:bottom w:val="single" w:color="auto" w:sz="4" w:space="0"/>
              <w:right w:val="single" w:color="auto" w:sz="4" w:space="0"/>
            </w:tcBorders>
            <w:vAlign w:val="center"/>
          </w:tcPr>
          <w:p w14:paraId="5181C364">
            <w:pPr>
              <w:widowControl/>
              <w:jc w:val="left"/>
              <w:rPr>
                <w:rFonts w:ascii="宋体" w:hAnsi="宋体"/>
                <w:kern w:val="0"/>
                <w:sz w:val="18"/>
                <w:szCs w:val="18"/>
              </w:rPr>
            </w:pPr>
            <w:r>
              <w:rPr>
                <w:rFonts w:ascii="宋体" w:hAnsi="宋体"/>
                <w:kern w:val="0"/>
                <w:sz w:val="18"/>
                <w:szCs w:val="18"/>
              </w:rPr>
              <w:t>安全要求</w:t>
            </w:r>
          </w:p>
        </w:tc>
        <w:tc>
          <w:tcPr>
            <w:tcW w:w="820" w:type="dxa"/>
            <w:tcBorders>
              <w:top w:val="nil"/>
              <w:left w:val="nil"/>
              <w:bottom w:val="single" w:color="auto" w:sz="4" w:space="0"/>
              <w:right w:val="single" w:color="auto" w:sz="4" w:space="0"/>
            </w:tcBorders>
            <w:vAlign w:val="center"/>
          </w:tcPr>
          <w:p w14:paraId="7A31BAF3">
            <w:pPr>
              <w:widowControl/>
              <w:jc w:val="center"/>
              <w:rPr>
                <w:rFonts w:ascii="宋体" w:hAnsi="宋体"/>
                <w:kern w:val="0"/>
                <w:sz w:val="18"/>
                <w:szCs w:val="18"/>
              </w:rPr>
            </w:pPr>
            <w:r>
              <w:rPr>
                <w:rFonts w:ascii="宋体" w:hAnsi="宋体"/>
                <w:kern w:val="0"/>
                <w:sz w:val="18"/>
                <w:szCs w:val="18"/>
              </w:rPr>
              <w:t>物理安全</w:t>
            </w:r>
          </w:p>
        </w:tc>
        <w:tc>
          <w:tcPr>
            <w:tcW w:w="1320" w:type="dxa"/>
            <w:tcBorders>
              <w:top w:val="nil"/>
              <w:left w:val="nil"/>
              <w:bottom w:val="single" w:color="auto" w:sz="4" w:space="0"/>
              <w:right w:val="single" w:color="auto" w:sz="4" w:space="0"/>
            </w:tcBorders>
            <w:vAlign w:val="center"/>
          </w:tcPr>
          <w:p w14:paraId="60DE047F">
            <w:pPr>
              <w:widowControl/>
              <w:jc w:val="left"/>
              <w:rPr>
                <w:rFonts w:ascii="宋体" w:hAnsi="宋体"/>
                <w:kern w:val="0"/>
                <w:sz w:val="18"/>
                <w:szCs w:val="18"/>
              </w:rPr>
            </w:pPr>
            <w:r>
              <w:rPr>
                <w:rFonts w:ascii="宋体" w:hAnsi="宋体"/>
                <w:kern w:val="0"/>
                <w:sz w:val="18"/>
                <w:szCs w:val="18"/>
              </w:rPr>
              <w:t>★物理安全</w:t>
            </w:r>
          </w:p>
        </w:tc>
        <w:tc>
          <w:tcPr>
            <w:tcW w:w="8860" w:type="dxa"/>
            <w:tcBorders>
              <w:top w:val="nil"/>
              <w:left w:val="nil"/>
              <w:bottom w:val="single" w:color="auto" w:sz="4" w:space="0"/>
              <w:right w:val="single" w:color="auto" w:sz="4" w:space="0"/>
            </w:tcBorders>
            <w:vAlign w:val="center"/>
          </w:tcPr>
          <w:p w14:paraId="405F5EAB">
            <w:pPr>
              <w:widowControl/>
              <w:jc w:val="left"/>
              <w:rPr>
                <w:rFonts w:ascii="宋体" w:hAnsi="宋体"/>
                <w:kern w:val="0"/>
                <w:sz w:val="18"/>
                <w:szCs w:val="18"/>
              </w:rPr>
            </w:pPr>
            <w:r>
              <w:rPr>
                <w:rFonts w:ascii="宋体" w:hAnsi="宋体"/>
                <w:kern w:val="0"/>
                <w:sz w:val="18"/>
                <w:szCs w:val="18"/>
              </w:rPr>
              <w:t>安全要求应符合GB4943.1的规定</w:t>
            </w:r>
          </w:p>
        </w:tc>
      </w:tr>
      <w:tr w14:paraId="1764BBFF">
        <w:tblPrEx>
          <w:tblCellMar>
            <w:top w:w="0" w:type="dxa"/>
            <w:left w:w="108" w:type="dxa"/>
            <w:bottom w:w="0" w:type="dxa"/>
            <w:right w:w="108" w:type="dxa"/>
          </w:tblCellMar>
        </w:tblPrEx>
        <w:trPr>
          <w:trHeight w:val="695" w:hRule="atLeast"/>
        </w:trPr>
        <w:tc>
          <w:tcPr>
            <w:tcW w:w="480" w:type="dxa"/>
            <w:tcBorders>
              <w:top w:val="nil"/>
              <w:left w:val="single" w:color="auto" w:sz="4" w:space="0"/>
              <w:bottom w:val="single" w:color="auto" w:sz="4" w:space="0"/>
              <w:right w:val="single" w:color="auto" w:sz="4" w:space="0"/>
            </w:tcBorders>
            <w:vAlign w:val="center"/>
          </w:tcPr>
          <w:p w14:paraId="42969B7B">
            <w:pPr>
              <w:widowControl/>
              <w:jc w:val="center"/>
              <w:rPr>
                <w:rFonts w:ascii="宋体" w:hAnsi="宋体"/>
                <w:kern w:val="0"/>
                <w:sz w:val="18"/>
                <w:szCs w:val="18"/>
              </w:rPr>
            </w:pPr>
            <w:r>
              <w:rPr>
                <w:rFonts w:ascii="宋体" w:hAnsi="宋体"/>
                <w:kern w:val="0"/>
                <w:sz w:val="18"/>
                <w:szCs w:val="18"/>
              </w:rPr>
              <w:t>101</w:t>
            </w:r>
          </w:p>
        </w:tc>
        <w:tc>
          <w:tcPr>
            <w:tcW w:w="1220" w:type="dxa"/>
            <w:tcBorders>
              <w:top w:val="nil"/>
              <w:left w:val="nil"/>
              <w:bottom w:val="single" w:color="auto" w:sz="4" w:space="0"/>
              <w:right w:val="single" w:color="auto" w:sz="4" w:space="0"/>
            </w:tcBorders>
            <w:vAlign w:val="center"/>
          </w:tcPr>
          <w:p w14:paraId="26D79101">
            <w:pPr>
              <w:widowControl/>
              <w:jc w:val="left"/>
              <w:rPr>
                <w:rFonts w:ascii="宋体" w:hAnsi="宋体"/>
                <w:kern w:val="0"/>
                <w:sz w:val="18"/>
                <w:szCs w:val="18"/>
              </w:rPr>
            </w:pPr>
            <w:r>
              <w:rPr>
                <w:rFonts w:ascii="宋体" w:hAnsi="宋体"/>
                <w:kern w:val="0"/>
                <w:sz w:val="18"/>
                <w:szCs w:val="18"/>
              </w:rPr>
              <w:t>安全要求</w:t>
            </w:r>
          </w:p>
        </w:tc>
        <w:tc>
          <w:tcPr>
            <w:tcW w:w="820" w:type="dxa"/>
            <w:tcBorders>
              <w:top w:val="nil"/>
              <w:left w:val="nil"/>
              <w:bottom w:val="single" w:color="auto" w:sz="4" w:space="0"/>
              <w:right w:val="single" w:color="auto" w:sz="4" w:space="0"/>
            </w:tcBorders>
            <w:vAlign w:val="center"/>
          </w:tcPr>
          <w:p w14:paraId="36E2AC9B">
            <w:pPr>
              <w:widowControl/>
              <w:jc w:val="center"/>
              <w:rPr>
                <w:rFonts w:ascii="宋体" w:hAnsi="宋体"/>
                <w:kern w:val="0"/>
                <w:sz w:val="18"/>
                <w:szCs w:val="18"/>
              </w:rPr>
            </w:pPr>
            <w:r>
              <w:rPr>
                <w:rFonts w:ascii="宋体" w:hAnsi="宋体"/>
                <w:kern w:val="0"/>
                <w:sz w:val="18"/>
                <w:szCs w:val="18"/>
              </w:rPr>
              <w:t>限用物质的限量要求</w:t>
            </w:r>
          </w:p>
        </w:tc>
        <w:tc>
          <w:tcPr>
            <w:tcW w:w="1320" w:type="dxa"/>
            <w:tcBorders>
              <w:top w:val="nil"/>
              <w:left w:val="nil"/>
              <w:bottom w:val="single" w:color="auto" w:sz="4" w:space="0"/>
              <w:right w:val="single" w:color="auto" w:sz="4" w:space="0"/>
            </w:tcBorders>
            <w:vAlign w:val="center"/>
          </w:tcPr>
          <w:p w14:paraId="31047699">
            <w:pPr>
              <w:widowControl/>
              <w:jc w:val="left"/>
              <w:rPr>
                <w:rFonts w:ascii="宋体" w:hAnsi="宋体"/>
                <w:kern w:val="0"/>
                <w:sz w:val="18"/>
                <w:szCs w:val="18"/>
              </w:rPr>
            </w:pPr>
            <w:r>
              <w:rPr>
                <w:rFonts w:ascii="宋体" w:hAnsi="宋体"/>
                <w:kern w:val="0"/>
                <w:sz w:val="18"/>
                <w:szCs w:val="18"/>
              </w:rPr>
              <w:t>★限用物质的限量要求</w:t>
            </w:r>
          </w:p>
        </w:tc>
        <w:tc>
          <w:tcPr>
            <w:tcW w:w="8860" w:type="dxa"/>
            <w:tcBorders>
              <w:top w:val="nil"/>
              <w:left w:val="nil"/>
              <w:bottom w:val="single" w:color="auto" w:sz="4" w:space="0"/>
              <w:right w:val="single" w:color="auto" w:sz="4" w:space="0"/>
            </w:tcBorders>
            <w:vAlign w:val="center"/>
          </w:tcPr>
          <w:p w14:paraId="13469F94">
            <w:pPr>
              <w:widowControl/>
              <w:jc w:val="left"/>
              <w:rPr>
                <w:rFonts w:ascii="宋体" w:hAnsi="宋体"/>
                <w:kern w:val="0"/>
                <w:sz w:val="18"/>
                <w:szCs w:val="18"/>
              </w:rPr>
            </w:pPr>
            <w:r>
              <w:rPr>
                <w:rFonts w:ascii="宋体" w:hAnsi="宋体"/>
                <w:kern w:val="0"/>
                <w:sz w:val="18"/>
                <w:szCs w:val="18"/>
              </w:rPr>
              <w:t>限用物质的限量应符合GB/T26572的要求</w:t>
            </w:r>
          </w:p>
        </w:tc>
      </w:tr>
      <w:tr w14:paraId="5F016343">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0E8CE734">
            <w:pPr>
              <w:widowControl/>
              <w:jc w:val="center"/>
              <w:rPr>
                <w:rFonts w:ascii="宋体" w:hAnsi="宋体"/>
                <w:kern w:val="0"/>
                <w:sz w:val="18"/>
                <w:szCs w:val="18"/>
              </w:rPr>
            </w:pPr>
            <w:r>
              <w:rPr>
                <w:rFonts w:ascii="宋体" w:hAnsi="宋体"/>
                <w:kern w:val="0"/>
                <w:sz w:val="18"/>
                <w:szCs w:val="18"/>
              </w:rPr>
              <w:t>102</w:t>
            </w:r>
          </w:p>
        </w:tc>
        <w:tc>
          <w:tcPr>
            <w:tcW w:w="1220" w:type="dxa"/>
            <w:tcBorders>
              <w:top w:val="nil"/>
              <w:left w:val="nil"/>
              <w:bottom w:val="single" w:color="auto" w:sz="4" w:space="0"/>
              <w:right w:val="single" w:color="auto" w:sz="4" w:space="0"/>
            </w:tcBorders>
            <w:vAlign w:val="center"/>
          </w:tcPr>
          <w:p w14:paraId="4E8E66E5">
            <w:pPr>
              <w:widowControl/>
              <w:jc w:val="left"/>
              <w:rPr>
                <w:rFonts w:ascii="宋体" w:hAnsi="宋体"/>
                <w:kern w:val="0"/>
                <w:sz w:val="18"/>
                <w:szCs w:val="18"/>
              </w:rPr>
            </w:pPr>
            <w:r>
              <w:rPr>
                <w:rFonts w:ascii="宋体" w:hAnsi="宋体"/>
                <w:kern w:val="0"/>
                <w:sz w:val="18"/>
                <w:szCs w:val="18"/>
              </w:rPr>
              <w:t>性能要求</w:t>
            </w:r>
          </w:p>
        </w:tc>
        <w:tc>
          <w:tcPr>
            <w:tcW w:w="820" w:type="dxa"/>
            <w:vMerge w:val="restart"/>
            <w:tcBorders>
              <w:top w:val="nil"/>
              <w:left w:val="single" w:color="auto" w:sz="4" w:space="0"/>
              <w:bottom w:val="single" w:color="auto" w:sz="4" w:space="0"/>
              <w:right w:val="single" w:color="auto" w:sz="4" w:space="0"/>
            </w:tcBorders>
            <w:vAlign w:val="center"/>
          </w:tcPr>
          <w:p w14:paraId="480E3116">
            <w:pPr>
              <w:widowControl/>
              <w:jc w:val="center"/>
              <w:rPr>
                <w:rFonts w:ascii="宋体" w:hAnsi="宋体"/>
                <w:kern w:val="0"/>
                <w:sz w:val="18"/>
                <w:szCs w:val="18"/>
              </w:rPr>
            </w:pPr>
            <w:r>
              <w:rPr>
                <w:rFonts w:ascii="宋体" w:hAnsi="宋体"/>
                <w:kern w:val="0"/>
                <w:sz w:val="18"/>
                <w:szCs w:val="18"/>
              </w:rPr>
              <w:t>CPU性能</w:t>
            </w:r>
          </w:p>
        </w:tc>
        <w:tc>
          <w:tcPr>
            <w:tcW w:w="1320" w:type="dxa"/>
            <w:tcBorders>
              <w:top w:val="nil"/>
              <w:left w:val="nil"/>
              <w:bottom w:val="single" w:color="auto" w:sz="4" w:space="0"/>
              <w:right w:val="single" w:color="auto" w:sz="4" w:space="0"/>
            </w:tcBorders>
            <w:vAlign w:val="center"/>
          </w:tcPr>
          <w:p w14:paraId="637E0749">
            <w:pPr>
              <w:widowControl/>
              <w:jc w:val="left"/>
              <w:rPr>
                <w:rFonts w:ascii="宋体" w:hAnsi="宋体"/>
                <w:kern w:val="0"/>
                <w:sz w:val="18"/>
                <w:szCs w:val="18"/>
              </w:rPr>
            </w:pPr>
            <w:r>
              <w:rPr>
                <w:rFonts w:ascii="宋体" w:hAnsi="宋体"/>
                <w:kern w:val="0"/>
                <w:sz w:val="18"/>
                <w:szCs w:val="18"/>
              </w:rPr>
              <w:t>★CPU主频</w:t>
            </w:r>
          </w:p>
        </w:tc>
        <w:tc>
          <w:tcPr>
            <w:tcW w:w="8860" w:type="dxa"/>
            <w:tcBorders>
              <w:top w:val="nil"/>
              <w:left w:val="nil"/>
              <w:bottom w:val="single" w:color="auto" w:sz="4" w:space="0"/>
              <w:right w:val="single" w:color="auto" w:sz="4" w:space="0"/>
            </w:tcBorders>
            <w:vAlign w:val="center"/>
          </w:tcPr>
          <w:p w14:paraId="74EA63BE">
            <w:pPr>
              <w:widowControl/>
              <w:jc w:val="left"/>
              <w:rPr>
                <w:rFonts w:ascii="宋体" w:hAnsi="宋体"/>
                <w:kern w:val="0"/>
                <w:sz w:val="18"/>
                <w:szCs w:val="18"/>
              </w:rPr>
            </w:pPr>
            <w:r>
              <w:rPr>
                <w:rFonts w:ascii="宋体" w:hAnsi="宋体"/>
                <w:kern w:val="0"/>
                <w:sz w:val="18"/>
                <w:szCs w:val="18"/>
              </w:rPr>
              <w:t>≥2.5GHz</w:t>
            </w:r>
          </w:p>
        </w:tc>
      </w:tr>
      <w:tr w14:paraId="080EC901">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5349E944">
            <w:pPr>
              <w:widowControl/>
              <w:jc w:val="center"/>
              <w:rPr>
                <w:rFonts w:ascii="宋体" w:hAnsi="宋体"/>
                <w:kern w:val="0"/>
                <w:sz w:val="18"/>
                <w:szCs w:val="18"/>
              </w:rPr>
            </w:pPr>
            <w:r>
              <w:rPr>
                <w:rFonts w:ascii="宋体" w:hAnsi="宋体"/>
                <w:kern w:val="0"/>
                <w:sz w:val="18"/>
                <w:szCs w:val="18"/>
              </w:rPr>
              <w:t>103</w:t>
            </w:r>
          </w:p>
        </w:tc>
        <w:tc>
          <w:tcPr>
            <w:tcW w:w="1220" w:type="dxa"/>
            <w:tcBorders>
              <w:top w:val="nil"/>
              <w:left w:val="nil"/>
              <w:bottom w:val="single" w:color="auto" w:sz="4" w:space="0"/>
              <w:right w:val="single" w:color="auto" w:sz="4" w:space="0"/>
            </w:tcBorders>
            <w:vAlign w:val="center"/>
          </w:tcPr>
          <w:p w14:paraId="5586AD12">
            <w:pPr>
              <w:widowControl/>
              <w:jc w:val="left"/>
              <w:rPr>
                <w:rFonts w:ascii="宋体" w:hAnsi="宋体"/>
                <w:kern w:val="0"/>
                <w:sz w:val="18"/>
                <w:szCs w:val="18"/>
              </w:rPr>
            </w:pPr>
            <w:r>
              <w:rPr>
                <w:rFonts w:ascii="宋体" w:hAnsi="宋体"/>
                <w:kern w:val="0"/>
                <w:sz w:val="18"/>
                <w:szCs w:val="18"/>
              </w:rPr>
              <w:t>性能要求</w:t>
            </w:r>
          </w:p>
        </w:tc>
        <w:tc>
          <w:tcPr>
            <w:tcW w:w="820" w:type="dxa"/>
            <w:vMerge w:val="continue"/>
            <w:tcBorders>
              <w:top w:val="nil"/>
              <w:left w:val="single" w:color="auto" w:sz="4" w:space="0"/>
              <w:bottom w:val="single" w:color="auto" w:sz="4" w:space="0"/>
              <w:right w:val="single" w:color="auto" w:sz="4" w:space="0"/>
            </w:tcBorders>
            <w:vAlign w:val="center"/>
          </w:tcPr>
          <w:p w14:paraId="2AAA5D70">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64CF599E">
            <w:pPr>
              <w:widowControl/>
              <w:jc w:val="left"/>
              <w:rPr>
                <w:rFonts w:ascii="宋体" w:hAnsi="宋体"/>
                <w:kern w:val="0"/>
                <w:sz w:val="18"/>
                <w:szCs w:val="18"/>
              </w:rPr>
            </w:pPr>
            <w:r>
              <w:rPr>
                <w:rFonts w:ascii="宋体" w:hAnsi="宋体"/>
                <w:kern w:val="0"/>
                <w:sz w:val="18"/>
                <w:szCs w:val="18"/>
              </w:rPr>
              <w:t>★单CPU核数</w:t>
            </w:r>
          </w:p>
        </w:tc>
        <w:tc>
          <w:tcPr>
            <w:tcW w:w="8860" w:type="dxa"/>
            <w:tcBorders>
              <w:top w:val="nil"/>
              <w:left w:val="nil"/>
              <w:bottom w:val="single" w:color="auto" w:sz="4" w:space="0"/>
              <w:right w:val="single" w:color="auto" w:sz="4" w:space="0"/>
            </w:tcBorders>
            <w:vAlign w:val="center"/>
          </w:tcPr>
          <w:p w14:paraId="01ADEAA1">
            <w:pPr>
              <w:widowControl/>
              <w:jc w:val="left"/>
              <w:rPr>
                <w:rFonts w:ascii="宋体" w:hAnsi="宋体"/>
                <w:kern w:val="0"/>
                <w:sz w:val="18"/>
                <w:szCs w:val="18"/>
              </w:rPr>
            </w:pPr>
            <w:r>
              <w:rPr>
                <w:rFonts w:ascii="宋体" w:hAnsi="宋体"/>
                <w:kern w:val="0"/>
                <w:sz w:val="18"/>
                <w:szCs w:val="18"/>
              </w:rPr>
              <w:t>≥32</w:t>
            </w:r>
          </w:p>
        </w:tc>
      </w:tr>
      <w:tr w14:paraId="743D4FED">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3A41ECC7">
            <w:pPr>
              <w:widowControl/>
              <w:jc w:val="center"/>
              <w:rPr>
                <w:rFonts w:ascii="宋体" w:hAnsi="宋体"/>
                <w:kern w:val="0"/>
                <w:sz w:val="18"/>
                <w:szCs w:val="18"/>
              </w:rPr>
            </w:pPr>
            <w:r>
              <w:rPr>
                <w:rFonts w:ascii="宋体" w:hAnsi="宋体"/>
                <w:kern w:val="0"/>
                <w:sz w:val="18"/>
                <w:szCs w:val="18"/>
              </w:rPr>
              <w:t>104</w:t>
            </w:r>
          </w:p>
        </w:tc>
        <w:tc>
          <w:tcPr>
            <w:tcW w:w="1220" w:type="dxa"/>
            <w:tcBorders>
              <w:top w:val="nil"/>
              <w:left w:val="nil"/>
              <w:bottom w:val="single" w:color="auto" w:sz="4" w:space="0"/>
              <w:right w:val="single" w:color="auto" w:sz="4" w:space="0"/>
            </w:tcBorders>
            <w:vAlign w:val="center"/>
          </w:tcPr>
          <w:p w14:paraId="0E256EB8">
            <w:pPr>
              <w:widowControl/>
              <w:jc w:val="left"/>
              <w:rPr>
                <w:rFonts w:ascii="宋体" w:hAnsi="宋体"/>
                <w:kern w:val="0"/>
                <w:sz w:val="18"/>
                <w:szCs w:val="18"/>
              </w:rPr>
            </w:pPr>
            <w:r>
              <w:rPr>
                <w:rFonts w:ascii="宋体" w:hAnsi="宋体"/>
                <w:kern w:val="0"/>
                <w:sz w:val="18"/>
                <w:szCs w:val="18"/>
              </w:rPr>
              <w:t>性能要求</w:t>
            </w:r>
          </w:p>
        </w:tc>
        <w:tc>
          <w:tcPr>
            <w:tcW w:w="820" w:type="dxa"/>
            <w:vMerge w:val="continue"/>
            <w:tcBorders>
              <w:top w:val="nil"/>
              <w:left w:val="single" w:color="auto" w:sz="4" w:space="0"/>
              <w:bottom w:val="single" w:color="auto" w:sz="4" w:space="0"/>
              <w:right w:val="single" w:color="auto" w:sz="4" w:space="0"/>
            </w:tcBorders>
            <w:vAlign w:val="center"/>
          </w:tcPr>
          <w:p w14:paraId="4D154AA1">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44DCEEC2">
            <w:pPr>
              <w:widowControl/>
              <w:jc w:val="left"/>
              <w:rPr>
                <w:rFonts w:ascii="宋体" w:hAnsi="宋体"/>
                <w:kern w:val="0"/>
                <w:sz w:val="18"/>
                <w:szCs w:val="18"/>
              </w:rPr>
            </w:pPr>
            <w:r>
              <w:rPr>
                <w:rFonts w:ascii="宋体" w:hAnsi="宋体"/>
                <w:kern w:val="0"/>
                <w:sz w:val="18"/>
                <w:szCs w:val="18"/>
              </w:rPr>
              <w:t>★单CPU末级缓存容量</w:t>
            </w:r>
          </w:p>
        </w:tc>
        <w:tc>
          <w:tcPr>
            <w:tcW w:w="8860" w:type="dxa"/>
            <w:tcBorders>
              <w:top w:val="nil"/>
              <w:left w:val="nil"/>
              <w:bottom w:val="single" w:color="auto" w:sz="4" w:space="0"/>
              <w:right w:val="single" w:color="auto" w:sz="4" w:space="0"/>
            </w:tcBorders>
            <w:vAlign w:val="center"/>
          </w:tcPr>
          <w:p w14:paraId="6AC0745F">
            <w:pPr>
              <w:widowControl/>
              <w:jc w:val="left"/>
              <w:rPr>
                <w:rFonts w:ascii="宋体" w:hAnsi="宋体"/>
                <w:kern w:val="0"/>
                <w:sz w:val="18"/>
                <w:szCs w:val="18"/>
              </w:rPr>
            </w:pPr>
            <w:r>
              <w:rPr>
                <w:rFonts w:ascii="宋体" w:hAnsi="宋体"/>
                <w:kern w:val="0"/>
                <w:sz w:val="18"/>
                <w:szCs w:val="18"/>
              </w:rPr>
              <w:t>≥32MB</w:t>
            </w:r>
          </w:p>
        </w:tc>
      </w:tr>
      <w:tr w14:paraId="55E4C633">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6F303B1E">
            <w:pPr>
              <w:widowControl/>
              <w:jc w:val="center"/>
              <w:rPr>
                <w:rFonts w:ascii="宋体" w:hAnsi="宋体"/>
                <w:kern w:val="0"/>
                <w:sz w:val="18"/>
                <w:szCs w:val="18"/>
              </w:rPr>
            </w:pPr>
            <w:r>
              <w:rPr>
                <w:rFonts w:ascii="宋体" w:hAnsi="宋体"/>
                <w:kern w:val="0"/>
                <w:sz w:val="18"/>
                <w:szCs w:val="18"/>
              </w:rPr>
              <w:t>105</w:t>
            </w:r>
          </w:p>
        </w:tc>
        <w:tc>
          <w:tcPr>
            <w:tcW w:w="1220" w:type="dxa"/>
            <w:tcBorders>
              <w:top w:val="nil"/>
              <w:left w:val="nil"/>
              <w:bottom w:val="single" w:color="auto" w:sz="4" w:space="0"/>
              <w:right w:val="single" w:color="auto" w:sz="4" w:space="0"/>
            </w:tcBorders>
            <w:vAlign w:val="center"/>
          </w:tcPr>
          <w:p w14:paraId="2858F033">
            <w:pPr>
              <w:widowControl/>
              <w:jc w:val="left"/>
              <w:rPr>
                <w:rFonts w:ascii="宋体" w:hAnsi="宋体"/>
                <w:kern w:val="0"/>
                <w:sz w:val="18"/>
                <w:szCs w:val="18"/>
              </w:rPr>
            </w:pPr>
            <w:r>
              <w:rPr>
                <w:rFonts w:ascii="宋体" w:hAnsi="宋体"/>
                <w:kern w:val="0"/>
                <w:sz w:val="18"/>
                <w:szCs w:val="18"/>
              </w:rPr>
              <w:t>性能要求</w:t>
            </w:r>
          </w:p>
        </w:tc>
        <w:tc>
          <w:tcPr>
            <w:tcW w:w="820" w:type="dxa"/>
            <w:vMerge w:val="restart"/>
            <w:tcBorders>
              <w:top w:val="nil"/>
              <w:left w:val="single" w:color="auto" w:sz="4" w:space="0"/>
              <w:bottom w:val="single" w:color="auto" w:sz="4" w:space="0"/>
              <w:right w:val="single" w:color="auto" w:sz="4" w:space="0"/>
            </w:tcBorders>
            <w:vAlign w:val="center"/>
          </w:tcPr>
          <w:p w14:paraId="7703A991">
            <w:pPr>
              <w:widowControl/>
              <w:jc w:val="center"/>
              <w:rPr>
                <w:rFonts w:ascii="宋体" w:hAnsi="宋体"/>
                <w:kern w:val="0"/>
                <w:sz w:val="18"/>
                <w:szCs w:val="18"/>
              </w:rPr>
            </w:pPr>
            <w:r>
              <w:rPr>
                <w:rFonts w:ascii="宋体" w:hAnsi="宋体"/>
                <w:kern w:val="0"/>
                <w:sz w:val="18"/>
                <w:szCs w:val="18"/>
              </w:rPr>
              <w:t>内存性能</w:t>
            </w:r>
          </w:p>
        </w:tc>
        <w:tc>
          <w:tcPr>
            <w:tcW w:w="1320" w:type="dxa"/>
            <w:tcBorders>
              <w:top w:val="nil"/>
              <w:left w:val="nil"/>
              <w:bottom w:val="single" w:color="auto" w:sz="4" w:space="0"/>
              <w:right w:val="single" w:color="auto" w:sz="4" w:space="0"/>
            </w:tcBorders>
            <w:vAlign w:val="center"/>
          </w:tcPr>
          <w:p w14:paraId="628D2618">
            <w:pPr>
              <w:widowControl/>
              <w:jc w:val="left"/>
              <w:rPr>
                <w:rFonts w:ascii="宋体" w:hAnsi="宋体"/>
                <w:kern w:val="0"/>
                <w:sz w:val="18"/>
                <w:szCs w:val="18"/>
              </w:rPr>
            </w:pPr>
            <w:r>
              <w:rPr>
                <w:rFonts w:ascii="宋体" w:hAnsi="宋体"/>
                <w:kern w:val="0"/>
                <w:sz w:val="18"/>
                <w:szCs w:val="18"/>
              </w:rPr>
              <w:t>单内存模块容量</w:t>
            </w:r>
          </w:p>
        </w:tc>
        <w:tc>
          <w:tcPr>
            <w:tcW w:w="8860" w:type="dxa"/>
            <w:tcBorders>
              <w:top w:val="nil"/>
              <w:left w:val="nil"/>
              <w:bottom w:val="single" w:color="auto" w:sz="4" w:space="0"/>
              <w:right w:val="single" w:color="auto" w:sz="4" w:space="0"/>
            </w:tcBorders>
            <w:vAlign w:val="center"/>
          </w:tcPr>
          <w:p w14:paraId="5BFB61D3">
            <w:pPr>
              <w:widowControl/>
              <w:jc w:val="left"/>
              <w:rPr>
                <w:rFonts w:ascii="宋体" w:hAnsi="宋体"/>
                <w:kern w:val="0"/>
                <w:sz w:val="18"/>
                <w:szCs w:val="18"/>
              </w:rPr>
            </w:pPr>
            <w:r>
              <w:rPr>
                <w:rFonts w:ascii="宋体" w:hAnsi="宋体"/>
                <w:kern w:val="0"/>
                <w:sz w:val="18"/>
                <w:szCs w:val="18"/>
              </w:rPr>
              <w:t>≥32GB</w:t>
            </w:r>
          </w:p>
        </w:tc>
      </w:tr>
      <w:tr w14:paraId="4C2883FE">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4494779B">
            <w:pPr>
              <w:widowControl/>
              <w:jc w:val="center"/>
              <w:rPr>
                <w:rFonts w:ascii="宋体" w:hAnsi="宋体"/>
                <w:kern w:val="0"/>
                <w:sz w:val="18"/>
                <w:szCs w:val="18"/>
              </w:rPr>
            </w:pPr>
            <w:r>
              <w:rPr>
                <w:rFonts w:ascii="宋体" w:hAnsi="宋体"/>
                <w:kern w:val="0"/>
                <w:sz w:val="18"/>
                <w:szCs w:val="18"/>
              </w:rPr>
              <w:t>106</w:t>
            </w:r>
          </w:p>
        </w:tc>
        <w:tc>
          <w:tcPr>
            <w:tcW w:w="1220" w:type="dxa"/>
            <w:tcBorders>
              <w:top w:val="nil"/>
              <w:left w:val="nil"/>
              <w:bottom w:val="single" w:color="auto" w:sz="4" w:space="0"/>
              <w:right w:val="single" w:color="auto" w:sz="4" w:space="0"/>
            </w:tcBorders>
            <w:vAlign w:val="center"/>
          </w:tcPr>
          <w:p w14:paraId="0EBD506D">
            <w:pPr>
              <w:widowControl/>
              <w:jc w:val="left"/>
              <w:rPr>
                <w:rFonts w:ascii="宋体" w:hAnsi="宋体"/>
                <w:kern w:val="0"/>
                <w:sz w:val="18"/>
                <w:szCs w:val="18"/>
              </w:rPr>
            </w:pPr>
            <w:r>
              <w:rPr>
                <w:rFonts w:ascii="宋体" w:hAnsi="宋体"/>
                <w:kern w:val="0"/>
                <w:sz w:val="18"/>
                <w:szCs w:val="18"/>
              </w:rPr>
              <w:t>性能要求</w:t>
            </w:r>
          </w:p>
        </w:tc>
        <w:tc>
          <w:tcPr>
            <w:tcW w:w="820" w:type="dxa"/>
            <w:vMerge w:val="continue"/>
            <w:tcBorders>
              <w:top w:val="nil"/>
              <w:left w:val="single" w:color="auto" w:sz="4" w:space="0"/>
              <w:bottom w:val="single" w:color="auto" w:sz="4" w:space="0"/>
              <w:right w:val="single" w:color="auto" w:sz="4" w:space="0"/>
            </w:tcBorders>
            <w:vAlign w:val="center"/>
          </w:tcPr>
          <w:p w14:paraId="0FC31448">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49EDC7DA">
            <w:pPr>
              <w:widowControl/>
              <w:jc w:val="left"/>
              <w:rPr>
                <w:rFonts w:ascii="宋体" w:hAnsi="宋体"/>
                <w:kern w:val="0"/>
                <w:sz w:val="18"/>
                <w:szCs w:val="18"/>
              </w:rPr>
            </w:pPr>
            <w:r>
              <w:rPr>
                <w:rFonts w:ascii="宋体" w:hAnsi="宋体"/>
                <w:kern w:val="0"/>
                <w:sz w:val="18"/>
                <w:szCs w:val="18"/>
              </w:rPr>
              <w:t>★内存速率</w:t>
            </w:r>
          </w:p>
        </w:tc>
        <w:tc>
          <w:tcPr>
            <w:tcW w:w="8860" w:type="dxa"/>
            <w:tcBorders>
              <w:top w:val="nil"/>
              <w:left w:val="nil"/>
              <w:bottom w:val="single" w:color="auto" w:sz="4" w:space="0"/>
              <w:right w:val="single" w:color="auto" w:sz="4" w:space="0"/>
            </w:tcBorders>
            <w:vAlign w:val="center"/>
          </w:tcPr>
          <w:p w14:paraId="4218CACA">
            <w:pPr>
              <w:widowControl/>
              <w:jc w:val="left"/>
              <w:rPr>
                <w:rFonts w:ascii="宋体" w:hAnsi="宋体"/>
                <w:kern w:val="0"/>
                <w:sz w:val="18"/>
                <w:szCs w:val="18"/>
              </w:rPr>
            </w:pPr>
            <w:r>
              <w:rPr>
                <w:rFonts w:ascii="宋体" w:hAnsi="宋体"/>
                <w:kern w:val="0"/>
                <w:sz w:val="18"/>
                <w:szCs w:val="18"/>
              </w:rPr>
              <w:t>≥2666MT/s</w:t>
            </w:r>
          </w:p>
        </w:tc>
      </w:tr>
      <w:tr w14:paraId="4BA9266B">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495C9498">
            <w:pPr>
              <w:widowControl/>
              <w:jc w:val="center"/>
              <w:rPr>
                <w:rFonts w:ascii="宋体" w:hAnsi="宋体"/>
                <w:kern w:val="0"/>
                <w:sz w:val="18"/>
                <w:szCs w:val="18"/>
              </w:rPr>
            </w:pPr>
            <w:r>
              <w:rPr>
                <w:rFonts w:ascii="宋体" w:hAnsi="宋体"/>
                <w:kern w:val="0"/>
                <w:sz w:val="18"/>
                <w:szCs w:val="18"/>
              </w:rPr>
              <w:t>107</w:t>
            </w:r>
          </w:p>
        </w:tc>
        <w:tc>
          <w:tcPr>
            <w:tcW w:w="1220" w:type="dxa"/>
            <w:tcBorders>
              <w:top w:val="nil"/>
              <w:left w:val="nil"/>
              <w:bottom w:val="single" w:color="auto" w:sz="4" w:space="0"/>
              <w:right w:val="single" w:color="auto" w:sz="4" w:space="0"/>
            </w:tcBorders>
            <w:vAlign w:val="center"/>
          </w:tcPr>
          <w:p w14:paraId="7FBD6594">
            <w:pPr>
              <w:widowControl/>
              <w:jc w:val="left"/>
              <w:rPr>
                <w:rFonts w:ascii="宋体" w:hAnsi="宋体"/>
                <w:kern w:val="0"/>
                <w:sz w:val="18"/>
                <w:szCs w:val="18"/>
              </w:rPr>
            </w:pPr>
            <w:r>
              <w:rPr>
                <w:rFonts w:ascii="宋体" w:hAnsi="宋体"/>
                <w:kern w:val="0"/>
                <w:sz w:val="18"/>
                <w:szCs w:val="18"/>
              </w:rPr>
              <w:t>性能要求</w:t>
            </w:r>
          </w:p>
        </w:tc>
        <w:tc>
          <w:tcPr>
            <w:tcW w:w="820" w:type="dxa"/>
            <w:tcBorders>
              <w:top w:val="nil"/>
              <w:left w:val="nil"/>
              <w:bottom w:val="single" w:color="auto" w:sz="4" w:space="0"/>
              <w:right w:val="single" w:color="auto" w:sz="4" w:space="0"/>
            </w:tcBorders>
            <w:vAlign w:val="center"/>
          </w:tcPr>
          <w:p w14:paraId="1FEEE138">
            <w:pPr>
              <w:widowControl/>
              <w:jc w:val="center"/>
              <w:rPr>
                <w:rFonts w:ascii="宋体" w:hAnsi="宋体"/>
                <w:kern w:val="0"/>
                <w:sz w:val="18"/>
                <w:szCs w:val="18"/>
              </w:rPr>
            </w:pPr>
            <w:r>
              <w:rPr>
                <w:rFonts w:ascii="宋体" w:hAnsi="宋体"/>
                <w:kern w:val="0"/>
                <w:sz w:val="18"/>
                <w:szCs w:val="18"/>
              </w:rPr>
              <w:t>存储性能</w:t>
            </w:r>
          </w:p>
        </w:tc>
        <w:tc>
          <w:tcPr>
            <w:tcW w:w="1320" w:type="dxa"/>
            <w:tcBorders>
              <w:top w:val="nil"/>
              <w:left w:val="nil"/>
              <w:bottom w:val="single" w:color="auto" w:sz="4" w:space="0"/>
              <w:right w:val="single" w:color="auto" w:sz="4" w:space="0"/>
            </w:tcBorders>
            <w:vAlign w:val="center"/>
          </w:tcPr>
          <w:p w14:paraId="2A42DDF6">
            <w:pPr>
              <w:widowControl/>
              <w:jc w:val="left"/>
              <w:rPr>
                <w:rFonts w:ascii="宋体" w:hAnsi="宋体"/>
                <w:kern w:val="0"/>
                <w:sz w:val="18"/>
                <w:szCs w:val="18"/>
              </w:rPr>
            </w:pPr>
            <w:r>
              <w:rPr>
                <w:rFonts w:ascii="宋体" w:hAnsi="宋体"/>
                <w:kern w:val="0"/>
                <w:sz w:val="18"/>
                <w:szCs w:val="18"/>
              </w:rPr>
              <w:t>硬盘转速</w:t>
            </w:r>
          </w:p>
        </w:tc>
        <w:tc>
          <w:tcPr>
            <w:tcW w:w="8860" w:type="dxa"/>
            <w:tcBorders>
              <w:top w:val="nil"/>
              <w:left w:val="nil"/>
              <w:bottom w:val="single" w:color="auto" w:sz="4" w:space="0"/>
              <w:right w:val="single" w:color="auto" w:sz="4" w:space="0"/>
            </w:tcBorders>
            <w:vAlign w:val="center"/>
          </w:tcPr>
          <w:p w14:paraId="6249FE2E">
            <w:pPr>
              <w:widowControl/>
              <w:jc w:val="left"/>
              <w:rPr>
                <w:rFonts w:ascii="宋体" w:hAnsi="宋体"/>
                <w:kern w:val="0"/>
                <w:sz w:val="18"/>
                <w:szCs w:val="18"/>
              </w:rPr>
            </w:pPr>
            <w:r>
              <w:rPr>
                <w:rFonts w:ascii="宋体" w:hAnsi="宋体"/>
                <w:kern w:val="0"/>
                <w:sz w:val="18"/>
                <w:szCs w:val="18"/>
              </w:rPr>
              <w:t>安装的硬磁盘转速不小于7200rpm</w:t>
            </w:r>
          </w:p>
        </w:tc>
      </w:tr>
      <w:tr w14:paraId="6CEB4FD4">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3333AC71">
            <w:pPr>
              <w:widowControl/>
              <w:jc w:val="center"/>
              <w:rPr>
                <w:rFonts w:ascii="宋体" w:hAnsi="宋体"/>
                <w:kern w:val="0"/>
                <w:sz w:val="18"/>
                <w:szCs w:val="18"/>
              </w:rPr>
            </w:pPr>
            <w:r>
              <w:rPr>
                <w:rFonts w:ascii="宋体" w:hAnsi="宋体"/>
                <w:kern w:val="0"/>
                <w:sz w:val="18"/>
                <w:szCs w:val="18"/>
              </w:rPr>
              <w:t>108</w:t>
            </w:r>
          </w:p>
        </w:tc>
        <w:tc>
          <w:tcPr>
            <w:tcW w:w="1220" w:type="dxa"/>
            <w:tcBorders>
              <w:top w:val="nil"/>
              <w:left w:val="nil"/>
              <w:bottom w:val="single" w:color="auto" w:sz="4" w:space="0"/>
              <w:right w:val="single" w:color="auto" w:sz="4" w:space="0"/>
            </w:tcBorders>
            <w:vAlign w:val="center"/>
          </w:tcPr>
          <w:p w14:paraId="606B2F29">
            <w:pPr>
              <w:widowControl/>
              <w:jc w:val="left"/>
              <w:rPr>
                <w:rFonts w:ascii="宋体" w:hAnsi="宋体"/>
                <w:kern w:val="0"/>
                <w:sz w:val="18"/>
                <w:szCs w:val="18"/>
              </w:rPr>
            </w:pPr>
            <w:r>
              <w:rPr>
                <w:rFonts w:ascii="宋体" w:hAnsi="宋体"/>
                <w:kern w:val="0"/>
                <w:sz w:val="18"/>
                <w:szCs w:val="18"/>
              </w:rPr>
              <w:t>性能要求</w:t>
            </w:r>
          </w:p>
        </w:tc>
        <w:tc>
          <w:tcPr>
            <w:tcW w:w="820" w:type="dxa"/>
            <w:tcBorders>
              <w:top w:val="nil"/>
              <w:left w:val="nil"/>
              <w:bottom w:val="single" w:color="auto" w:sz="4" w:space="0"/>
              <w:right w:val="single" w:color="auto" w:sz="4" w:space="0"/>
            </w:tcBorders>
            <w:vAlign w:val="center"/>
          </w:tcPr>
          <w:p w14:paraId="0AFD1602">
            <w:pPr>
              <w:widowControl/>
              <w:jc w:val="center"/>
              <w:rPr>
                <w:rFonts w:ascii="宋体" w:hAnsi="宋体"/>
                <w:kern w:val="0"/>
                <w:sz w:val="18"/>
                <w:szCs w:val="18"/>
              </w:rPr>
            </w:pPr>
            <w:r>
              <w:rPr>
                <w:rFonts w:ascii="宋体" w:hAnsi="宋体"/>
                <w:kern w:val="0"/>
                <w:sz w:val="18"/>
                <w:szCs w:val="18"/>
              </w:rPr>
              <w:t>RAID卡性能</w:t>
            </w:r>
          </w:p>
        </w:tc>
        <w:tc>
          <w:tcPr>
            <w:tcW w:w="1320" w:type="dxa"/>
            <w:tcBorders>
              <w:top w:val="nil"/>
              <w:left w:val="nil"/>
              <w:bottom w:val="single" w:color="auto" w:sz="4" w:space="0"/>
              <w:right w:val="single" w:color="auto" w:sz="4" w:space="0"/>
            </w:tcBorders>
            <w:vAlign w:val="center"/>
          </w:tcPr>
          <w:p w14:paraId="2A420399">
            <w:pPr>
              <w:widowControl/>
              <w:jc w:val="left"/>
              <w:rPr>
                <w:rFonts w:ascii="宋体" w:hAnsi="宋体"/>
                <w:kern w:val="0"/>
                <w:sz w:val="18"/>
                <w:szCs w:val="18"/>
              </w:rPr>
            </w:pPr>
            <w:r>
              <w:rPr>
                <w:rFonts w:ascii="宋体" w:hAnsi="宋体"/>
                <w:kern w:val="0"/>
                <w:sz w:val="18"/>
                <w:szCs w:val="18"/>
              </w:rPr>
              <w:t>RAID卡缓存容量大小</w:t>
            </w:r>
          </w:p>
        </w:tc>
        <w:tc>
          <w:tcPr>
            <w:tcW w:w="8860" w:type="dxa"/>
            <w:tcBorders>
              <w:top w:val="nil"/>
              <w:left w:val="nil"/>
              <w:bottom w:val="single" w:color="auto" w:sz="4" w:space="0"/>
              <w:right w:val="single" w:color="auto" w:sz="4" w:space="0"/>
            </w:tcBorders>
            <w:vAlign w:val="center"/>
          </w:tcPr>
          <w:p w14:paraId="4190D940">
            <w:pPr>
              <w:widowControl/>
              <w:jc w:val="left"/>
              <w:rPr>
                <w:rFonts w:ascii="宋体" w:hAnsi="宋体"/>
                <w:kern w:val="0"/>
                <w:sz w:val="18"/>
                <w:szCs w:val="18"/>
              </w:rPr>
            </w:pPr>
            <w:r>
              <w:rPr>
                <w:rFonts w:ascii="宋体" w:hAnsi="宋体"/>
                <w:kern w:val="0"/>
                <w:sz w:val="18"/>
                <w:szCs w:val="18"/>
              </w:rPr>
              <w:t>RAID卡缓存容量不少于2GB</w:t>
            </w:r>
          </w:p>
        </w:tc>
      </w:tr>
      <w:tr w14:paraId="363C2492">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1A626138">
            <w:pPr>
              <w:widowControl/>
              <w:jc w:val="center"/>
              <w:rPr>
                <w:rFonts w:ascii="宋体" w:hAnsi="宋体"/>
                <w:kern w:val="0"/>
                <w:sz w:val="18"/>
                <w:szCs w:val="18"/>
              </w:rPr>
            </w:pPr>
            <w:r>
              <w:rPr>
                <w:rFonts w:ascii="宋体" w:hAnsi="宋体"/>
                <w:kern w:val="0"/>
                <w:sz w:val="18"/>
                <w:szCs w:val="18"/>
              </w:rPr>
              <w:t>109</w:t>
            </w:r>
          </w:p>
        </w:tc>
        <w:tc>
          <w:tcPr>
            <w:tcW w:w="1220" w:type="dxa"/>
            <w:tcBorders>
              <w:top w:val="nil"/>
              <w:left w:val="nil"/>
              <w:bottom w:val="single" w:color="auto" w:sz="4" w:space="0"/>
              <w:right w:val="single" w:color="auto" w:sz="4" w:space="0"/>
            </w:tcBorders>
            <w:vAlign w:val="center"/>
          </w:tcPr>
          <w:p w14:paraId="4B3855B8">
            <w:pPr>
              <w:widowControl/>
              <w:jc w:val="left"/>
              <w:rPr>
                <w:rFonts w:ascii="宋体" w:hAnsi="宋体"/>
                <w:kern w:val="0"/>
                <w:sz w:val="18"/>
                <w:szCs w:val="18"/>
              </w:rPr>
            </w:pPr>
            <w:r>
              <w:rPr>
                <w:rFonts w:ascii="宋体" w:hAnsi="宋体"/>
                <w:kern w:val="0"/>
                <w:sz w:val="18"/>
                <w:szCs w:val="18"/>
              </w:rPr>
              <w:t>性能要求</w:t>
            </w:r>
          </w:p>
        </w:tc>
        <w:tc>
          <w:tcPr>
            <w:tcW w:w="820" w:type="dxa"/>
            <w:tcBorders>
              <w:top w:val="nil"/>
              <w:left w:val="nil"/>
              <w:bottom w:val="single" w:color="auto" w:sz="4" w:space="0"/>
              <w:right w:val="single" w:color="auto" w:sz="4" w:space="0"/>
            </w:tcBorders>
          </w:tcPr>
          <w:p w14:paraId="4B3D4C69">
            <w:pPr>
              <w:widowControl/>
              <w:jc w:val="center"/>
              <w:rPr>
                <w:rFonts w:ascii="宋体" w:hAnsi="宋体"/>
                <w:kern w:val="0"/>
                <w:sz w:val="18"/>
                <w:szCs w:val="18"/>
              </w:rPr>
            </w:pPr>
            <w:r>
              <w:rPr>
                <w:rFonts w:ascii="宋体" w:hAnsi="宋体"/>
                <w:kern w:val="0"/>
                <w:sz w:val="18"/>
                <w:szCs w:val="18"/>
              </w:rPr>
              <w:t>FCHBA卡性能</w:t>
            </w:r>
          </w:p>
        </w:tc>
        <w:tc>
          <w:tcPr>
            <w:tcW w:w="1320" w:type="dxa"/>
            <w:tcBorders>
              <w:top w:val="nil"/>
              <w:left w:val="nil"/>
              <w:bottom w:val="single" w:color="auto" w:sz="4" w:space="0"/>
              <w:right w:val="single" w:color="auto" w:sz="4" w:space="0"/>
            </w:tcBorders>
            <w:vAlign w:val="center"/>
          </w:tcPr>
          <w:p w14:paraId="09A92673">
            <w:pPr>
              <w:widowControl/>
              <w:jc w:val="left"/>
              <w:rPr>
                <w:rFonts w:ascii="宋体" w:hAnsi="宋体"/>
                <w:kern w:val="0"/>
                <w:sz w:val="18"/>
                <w:szCs w:val="18"/>
              </w:rPr>
            </w:pPr>
            <w:r>
              <w:rPr>
                <w:rFonts w:ascii="宋体" w:hAnsi="宋体"/>
                <w:kern w:val="0"/>
                <w:sz w:val="18"/>
                <w:szCs w:val="18"/>
              </w:rPr>
              <w:t>FCHBA卡速率</w:t>
            </w:r>
          </w:p>
        </w:tc>
        <w:tc>
          <w:tcPr>
            <w:tcW w:w="8860" w:type="dxa"/>
            <w:tcBorders>
              <w:top w:val="nil"/>
              <w:left w:val="nil"/>
              <w:bottom w:val="single" w:color="auto" w:sz="4" w:space="0"/>
              <w:right w:val="single" w:color="auto" w:sz="4" w:space="0"/>
            </w:tcBorders>
            <w:vAlign w:val="center"/>
          </w:tcPr>
          <w:p w14:paraId="3934B623">
            <w:pPr>
              <w:widowControl/>
              <w:jc w:val="left"/>
              <w:rPr>
                <w:rFonts w:ascii="宋体" w:hAnsi="宋体"/>
                <w:kern w:val="0"/>
                <w:sz w:val="18"/>
                <w:szCs w:val="18"/>
              </w:rPr>
            </w:pPr>
            <w:r>
              <w:rPr>
                <w:rFonts w:ascii="宋体" w:hAnsi="宋体"/>
                <w:kern w:val="0"/>
                <w:sz w:val="18"/>
                <w:szCs w:val="18"/>
              </w:rPr>
              <w:t>若配备FCHBA卡，单端口最大的连接速率不少于8Gb/s</w:t>
            </w:r>
          </w:p>
        </w:tc>
      </w:tr>
      <w:tr w14:paraId="005C76EB">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3C53D64C">
            <w:pPr>
              <w:widowControl/>
              <w:jc w:val="center"/>
              <w:rPr>
                <w:rFonts w:ascii="宋体" w:hAnsi="宋体"/>
                <w:kern w:val="0"/>
                <w:sz w:val="18"/>
                <w:szCs w:val="18"/>
              </w:rPr>
            </w:pPr>
            <w:r>
              <w:rPr>
                <w:rFonts w:ascii="宋体" w:hAnsi="宋体"/>
                <w:kern w:val="0"/>
                <w:sz w:val="18"/>
                <w:szCs w:val="18"/>
              </w:rPr>
              <w:t>110</w:t>
            </w:r>
          </w:p>
        </w:tc>
        <w:tc>
          <w:tcPr>
            <w:tcW w:w="1220" w:type="dxa"/>
            <w:tcBorders>
              <w:top w:val="nil"/>
              <w:left w:val="nil"/>
              <w:bottom w:val="single" w:color="auto" w:sz="4" w:space="0"/>
              <w:right w:val="single" w:color="auto" w:sz="4" w:space="0"/>
            </w:tcBorders>
            <w:vAlign w:val="center"/>
          </w:tcPr>
          <w:p w14:paraId="7750F29B">
            <w:pPr>
              <w:widowControl/>
              <w:jc w:val="left"/>
              <w:rPr>
                <w:rFonts w:ascii="宋体" w:hAnsi="宋体"/>
                <w:kern w:val="0"/>
                <w:sz w:val="18"/>
                <w:szCs w:val="18"/>
              </w:rPr>
            </w:pPr>
            <w:r>
              <w:rPr>
                <w:rFonts w:ascii="宋体" w:hAnsi="宋体"/>
                <w:kern w:val="0"/>
                <w:sz w:val="18"/>
                <w:szCs w:val="18"/>
              </w:rPr>
              <w:t>性能要求</w:t>
            </w:r>
          </w:p>
        </w:tc>
        <w:tc>
          <w:tcPr>
            <w:tcW w:w="820" w:type="dxa"/>
            <w:vMerge w:val="restart"/>
            <w:tcBorders>
              <w:top w:val="nil"/>
              <w:left w:val="single" w:color="auto" w:sz="4" w:space="0"/>
              <w:bottom w:val="single" w:color="auto" w:sz="4" w:space="0"/>
              <w:right w:val="single" w:color="auto" w:sz="4" w:space="0"/>
            </w:tcBorders>
            <w:vAlign w:val="center"/>
          </w:tcPr>
          <w:p w14:paraId="77780BB5">
            <w:pPr>
              <w:widowControl/>
              <w:jc w:val="center"/>
              <w:rPr>
                <w:rFonts w:ascii="宋体" w:hAnsi="宋体"/>
                <w:kern w:val="0"/>
                <w:sz w:val="18"/>
                <w:szCs w:val="18"/>
              </w:rPr>
            </w:pPr>
            <w:r>
              <w:rPr>
                <w:rFonts w:ascii="宋体" w:hAnsi="宋体"/>
                <w:kern w:val="0"/>
                <w:sz w:val="18"/>
                <w:szCs w:val="18"/>
              </w:rPr>
              <w:t>网络性能</w:t>
            </w:r>
          </w:p>
        </w:tc>
        <w:tc>
          <w:tcPr>
            <w:tcW w:w="1320" w:type="dxa"/>
            <w:tcBorders>
              <w:top w:val="nil"/>
              <w:left w:val="nil"/>
              <w:bottom w:val="single" w:color="auto" w:sz="4" w:space="0"/>
              <w:right w:val="single" w:color="auto" w:sz="4" w:space="0"/>
            </w:tcBorders>
            <w:vAlign w:val="center"/>
          </w:tcPr>
          <w:p w14:paraId="53661211">
            <w:pPr>
              <w:widowControl/>
              <w:jc w:val="left"/>
              <w:rPr>
                <w:rFonts w:ascii="宋体" w:hAnsi="宋体"/>
                <w:kern w:val="0"/>
                <w:sz w:val="18"/>
                <w:szCs w:val="18"/>
              </w:rPr>
            </w:pPr>
            <w:r>
              <w:rPr>
                <w:rFonts w:ascii="宋体" w:hAnsi="宋体"/>
                <w:kern w:val="0"/>
                <w:sz w:val="18"/>
                <w:szCs w:val="18"/>
              </w:rPr>
              <w:t>独立网卡速率</w:t>
            </w:r>
          </w:p>
        </w:tc>
        <w:tc>
          <w:tcPr>
            <w:tcW w:w="8860" w:type="dxa"/>
            <w:tcBorders>
              <w:top w:val="nil"/>
              <w:left w:val="nil"/>
              <w:bottom w:val="single" w:color="auto" w:sz="4" w:space="0"/>
              <w:right w:val="single" w:color="auto" w:sz="4" w:space="0"/>
            </w:tcBorders>
            <w:vAlign w:val="center"/>
          </w:tcPr>
          <w:p w14:paraId="0DD00500">
            <w:pPr>
              <w:widowControl/>
              <w:jc w:val="left"/>
              <w:rPr>
                <w:rFonts w:ascii="宋体" w:hAnsi="宋体"/>
                <w:kern w:val="0"/>
                <w:sz w:val="18"/>
                <w:szCs w:val="18"/>
              </w:rPr>
            </w:pPr>
            <w:r>
              <w:rPr>
                <w:rFonts w:ascii="宋体" w:hAnsi="宋体"/>
                <w:kern w:val="0"/>
                <w:sz w:val="18"/>
                <w:szCs w:val="18"/>
              </w:rPr>
              <w:t>≥1GE</w:t>
            </w:r>
          </w:p>
        </w:tc>
      </w:tr>
      <w:tr w14:paraId="5F716322">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764AC566">
            <w:pPr>
              <w:widowControl/>
              <w:jc w:val="center"/>
              <w:rPr>
                <w:rFonts w:ascii="宋体" w:hAnsi="宋体"/>
                <w:kern w:val="0"/>
                <w:sz w:val="18"/>
                <w:szCs w:val="18"/>
              </w:rPr>
            </w:pPr>
            <w:r>
              <w:rPr>
                <w:rFonts w:ascii="宋体" w:hAnsi="宋体"/>
                <w:kern w:val="0"/>
                <w:sz w:val="18"/>
                <w:szCs w:val="18"/>
              </w:rPr>
              <w:t>111</w:t>
            </w:r>
          </w:p>
        </w:tc>
        <w:tc>
          <w:tcPr>
            <w:tcW w:w="1220" w:type="dxa"/>
            <w:tcBorders>
              <w:top w:val="nil"/>
              <w:left w:val="nil"/>
              <w:bottom w:val="single" w:color="auto" w:sz="4" w:space="0"/>
              <w:right w:val="single" w:color="auto" w:sz="4" w:space="0"/>
            </w:tcBorders>
            <w:vAlign w:val="center"/>
          </w:tcPr>
          <w:p w14:paraId="2D83C475">
            <w:pPr>
              <w:widowControl/>
              <w:jc w:val="left"/>
              <w:rPr>
                <w:rFonts w:ascii="宋体" w:hAnsi="宋体"/>
                <w:kern w:val="0"/>
                <w:sz w:val="18"/>
                <w:szCs w:val="18"/>
              </w:rPr>
            </w:pPr>
            <w:r>
              <w:rPr>
                <w:rFonts w:ascii="宋体" w:hAnsi="宋体"/>
                <w:kern w:val="0"/>
                <w:sz w:val="18"/>
                <w:szCs w:val="18"/>
              </w:rPr>
              <w:t>性能要求</w:t>
            </w:r>
          </w:p>
        </w:tc>
        <w:tc>
          <w:tcPr>
            <w:tcW w:w="820" w:type="dxa"/>
            <w:vMerge w:val="continue"/>
            <w:tcBorders>
              <w:top w:val="nil"/>
              <w:left w:val="single" w:color="auto" w:sz="4" w:space="0"/>
              <w:bottom w:val="single" w:color="auto" w:sz="4" w:space="0"/>
              <w:right w:val="single" w:color="auto" w:sz="4" w:space="0"/>
            </w:tcBorders>
            <w:vAlign w:val="center"/>
          </w:tcPr>
          <w:p w14:paraId="33147BAB">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33D92DAF">
            <w:pPr>
              <w:widowControl/>
              <w:jc w:val="left"/>
              <w:rPr>
                <w:rFonts w:ascii="宋体" w:hAnsi="宋体"/>
                <w:kern w:val="0"/>
                <w:sz w:val="18"/>
                <w:szCs w:val="18"/>
              </w:rPr>
            </w:pPr>
            <w:r>
              <w:rPr>
                <w:rFonts w:ascii="宋体" w:hAnsi="宋体"/>
                <w:kern w:val="0"/>
                <w:sz w:val="18"/>
                <w:szCs w:val="18"/>
              </w:rPr>
              <w:t>板载网卡速率</w:t>
            </w:r>
          </w:p>
        </w:tc>
        <w:tc>
          <w:tcPr>
            <w:tcW w:w="8860" w:type="dxa"/>
            <w:tcBorders>
              <w:top w:val="nil"/>
              <w:left w:val="nil"/>
              <w:bottom w:val="single" w:color="auto" w:sz="4" w:space="0"/>
              <w:right w:val="single" w:color="auto" w:sz="4" w:space="0"/>
            </w:tcBorders>
            <w:vAlign w:val="center"/>
          </w:tcPr>
          <w:p w14:paraId="2DBA4EE5">
            <w:pPr>
              <w:widowControl/>
              <w:jc w:val="left"/>
              <w:rPr>
                <w:rFonts w:ascii="宋体" w:hAnsi="宋体"/>
                <w:kern w:val="0"/>
                <w:sz w:val="18"/>
                <w:szCs w:val="18"/>
              </w:rPr>
            </w:pPr>
            <w:r>
              <w:rPr>
                <w:rFonts w:ascii="宋体" w:hAnsi="宋体"/>
                <w:kern w:val="0"/>
                <w:sz w:val="18"/>
                <w:szCs w:val="18"/>
              </w:rPr>
              <w:t>≥1GE</w:t>
            </w:r>
          </w:p>
        </w:tc>
      </w:tr>
      <w:tr w14:paraId="4A8FA466">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1BF4F52E">
            <w:pPr>
              <w:widowControl/>
              <w:jc w:val="center"/>
              <w:rPr>
                <w:rFonts w:ascii="宋体" w:hAnsi="宋体"/>
                <w:kern w:val="0"/>
                <w:sz w:val="18"/>
                <w:szCs w:val="18"/>
              </w:rPr>
            </w:pPr>
            <w:r>
              <w:rPr>
                <w:rFonts w:ascii="宋体" w:hAnsi="宋体"/>
                <w:kern w:val="0"/>
                <w:sz w:val="18"/>
                <w:szCs w:val="18"/>
              </w:rPr>
              <w:t>112</w:t>
            </w:r>
          </w:p>
        </w:tc>
        <w:tc>
          <w:tcPr>
            <w:tcW w:w="1220" w:type="dxa"/>
            <w:tcBorders>
              <w:top w:val="nil"/>
              <w:left w:val="nil"/>
              <w:bottom w:val="single" w:color="auto" w:sz="4" w:space="0"/>
              <w:right w:val="single" w:color="auto" w:sz="4" w:space="0"/>
            </w:tcBorders>
            <w:vAlign w:val="center"/>
          </w:tcPr>
          <w:p w14:paraId="1F6EB9C8">
            <w:pPr>
              <w:widowControl/>
              <w:jc w:val="left"/>
              <w:rPr>
                <w:rFonts w:ascii="宋体" w:hAnsi="宋体"/>
                <w:kern w:val="0"/>
                <w:sz w:val="18"/>
                <w:szCs w:val="18"/>
              </w:rPr>
            </w:pPr>
            <w:r>
              <w:rPr>
                <w:rFonts w:ascii="宋体" w:hAnsi="宋体"/>
                <w:kern w:val="0"/>
                <w:sz w:val="18"/>
                <w:szCs w:val="18"/>
              </w:rPr>
              <w:t>性能要求</w:t>
            </w:r>
          </w:p>
        </w:tc>
        <w:tc>
          <w:tcPr>
            <w:tcW w:w="820" w:type="dxa"/>
            <w:tcBorders>
              <w:top w:val="nil"/>
              <w:left w:val="nil"/>
              <w:bottom w:val="single" w:color="auto" w:sz="4" w:space="0"/>
              <w:right w:val="single" w:color="auto" w:sz="4" w:space="0"/>
            </w:tcBorders>
            <w:vAlign w:val="center"/>
          </w:tcPr>
          <w:p w14:paraId="75D9FFDA">
            <w:pPr>
              <w:widowControl/>
              <w:jc w:val="center"/>
              <w:rPr>
                <w:rFonts w:ascii="宋体" w:hAnsi="宋体"/>
                <w:kern w:val="0"/>
                <w:sz w:val="18"/>
                <w:szCs w:val="18"/>
              </w:rPr>
            </w:pPr>
            <w:r>
              <w:rPr>
                <w:rFonts w:ascii="宋体" w:hAnsi="宋体"/>
                <w:kern w:val="0"/>
                <w:sz w:val="18"/>
                <w:szCs w:val="18"/>
              </w:rPr>
              <w:t>电源能耗</w:t>
            </w:r>
          </w:p>
        </w:tc>
        <w:tc>
          <w:tcPr>
            <w:tcW w:w="1320" w:type="dxa"/>
            <w:tcBorders>
              <w:top w:val="nil"/>
              <w:left w:val="nil"/>
              <w:bottom w:val="single" w:color="auto" w:sz="4" w:space="0"/>
              <w:right w:val="single" w:color="auto" w:sz="4" w:space="0"/>
            </w:tcBorders>
            <w:vAlign w:val="center"/>
          </w:tcPr>
          <w:p w14:paraId="47393200">
            <w:pPr>
              <w:widowControl/>
              <w:jc w:val="left"/>
              <w:rPr>
                <w:rFonts w:ascii="宋体" w:hAnsi="宋体"/>
                <w:kern w:val="0"/>
                <w:sz w:val="18"/>
                <w:szCs w:val="18"/>
              </w:rPr>
            </w:pPr>
            <w:r>
              <w:rPr>
                <w:rFonts w:ascii="宋体" w:hAnsi="宋体"/>
                <w:kern w:val="0"/>
                <w:sz w:val="18"/>
                <w:szCs w:val="18"/>
              </w:rPr>
              <w:t>★电源能耗</w:t>
            </w:r>
          </w:p>
        </w:tc>
        <w:tc>
          <w:tcPr>
            <w:tcW w:w="8860" w:type="dxa"/>
            <w:tcBorders>
              <w:top w:val="nil"/>
              <w:left w:val="nil"/>
              <w:bottom w:val="single" w:color="auto" w:sz="4" w:space="0"/>
              <w:right w:val="single" w:color="auto" w:sz="4" w:space="0"/>
            </w:tcBorders>
            <w:vAlign w:val="center"/>
          </w:tcPr>
          <w:p w14:paraId="784001BD">
            <w:pPr>
              <w:widowControl/>
              <w:jc w:val="left"/>
              <w:rPr>
                <w:rFonts w:ascii="宋体" w:hAnsi="宋体"/>
                <w:kern w:val="0"/>
                <w:sz w:val="18"/>
                <w:szCs w:val="18"/>
              </w:rPr>
            </w:pPr>
            <w:r>
              <w:rPr>
                <w:rFonts w:ascii="宋体" w:hAnsi="宋体"/>
                <w:kern w:val="0"/>
                <w:sz w:val="18"/>
                <w:szCs w:val="18"/>
              </w:rPr>
              <w:t>符合GB/T9813.3的有关规定</w:t>
            </w:r>
          </w:p>
        </w:tc>
      </w:tr>
      <w:tr w14:paraId="2DF57303">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03A2B6E6">
            <w:pPr>
              <w:widowControl/>
              <w:jc w:val="center"/>
              <w:rPr>
                <w:rFonts w:ascii="宋体" w:hAnsi="宋体"/>
                <w:kern w:val="0"/>
                <w:sz w:val="18"/>
                <w:szCs w:val="18"/>
              </w:rPr>
            </w:pPr>
            <w:r>
              <w:rPr>
                <w:rFonts w:ascii="宋体" w:hAnsi="宋体"/>
                <w:kern w:val="0"/>
                <w:sz w:val="18"/>
                <w:szCs w:val="18"/>
              </w:rPr>
              <w:t>113</w:t>
            </w:r>
          </w:p>
        </w:tc>
        <w:tc>
          <w:tcPr>
            <w:tcW w:w="1220" w:type="dxa"/>
            <w:tcBorders>
              <w:top w:val="nil"/>
              <w:left w:val="nil"/>
              <w:bottom w:val="single" w:color="auto" w:sz="4" w:space="0"/>
              <w:right w:val="single" w:color="auto" w:sz="4" w:space="0"/>
            </w:tcBorders>
            <w:vAlign w:val="center"/>
          </w:tcPr>
          <w:p w14:paraId="144F40DE">
            <w:pPr>
              <w:widowControl/>
              <w:jc w:val="left"/>
              <w:rPr>
                <w:rFonts w:ascii="宋体" w:hAnsi="宋体"/>
                <w:kern w:val="0"/>
                <w:sz w:val="18"/>
                <w:szCs w:val="18"/>
              </w:rPr>
            </w:pPr>
            <w:r>
              <w:rPr>
                <w:rFonts w:ascii="宋体" w:hAnsi="宋体"/>
                <w:kern w:val="0"/>
                <w:sz w:val="18"/>
                <w:szCs w:val="18"/>
              </w:rPr>
              <w:t>兼容要求</w:t>
            </w:r>
          </w:p>
        </w:tc>
        <w:tc>
          <w:tcPr>
            <w:tcW w:w="820" w:type="dxa"/>
            <w:vMerge w:val="restart"/>
            <w:tcBorders>
              <w:top w:val="nil"/>
              <w:left w:val="single" w:color="auto" w:sz="4" w:space="0"/>
              <w:bottom w:val="single" w:color="auto" w:sz="4" w:space="0"/>
              <w:right w:val="single" w:color="auto" w:sz="4" w:space="0"/>
            </w:tcBorders>
            <w:vAlign w:val="center"/>
          </w:tcPr>
          <w:p w14:paraId="3F7837AD">
            <w:pPr>
              <w:widowControl/>
              <w:jc w:val="center"/>
              <w:rPr>
                <w:rFonts w:ascii="宋体" w:hAnsi="宋体"/>
                <w:kern w:val="0"/>
                <w:sz w:val="18"/>
                <w:szCs w:val="18"/>
              </w:rPr>
            </w:pPr>
            <w:r>
              <w:rPr>
                <w:rFonts w:ascii="宋体" w:hAnsi="宋体"/>
                <w:kern w:val="0"/>
                <w:sz w:val="18"/>
                <w:szCs w:val="18"/>
              </w:rPr>
              <w:t>部件兼容性要求</w:t>
            </w:r>
          </w:p>
        </w:tc>
        <w:tc>
          <w:tcPr>
            <w:tcW w:w="1320" w:type="dxa"/>
            <w:tcBorders>
              <w:top w:val="nil"/>
              <w:left w:val="nil"/>
              <w:bottom w:val="single" w:color="auto" w:sz="4" w:space="0"/>
              <w:right w:val="single" w:color="auto" w:sz="4" w:space="0"/>
            </w:tcBorders>
            <w:vAlign w:val="center"/>
          </w:tcPr>
          <w:p w14:paraId="01FCB614">
            <w:pPr>
              <w:widowControl/>
              <w:jc w:val="left"/>
              <w:rPr>
                <w:rFonts w:ascii="宋体" w:hAnsi="宋体"/>
                <w:kern w:val="0"/>
                <w:sz w:val="18"/>
                <w:szCs w:val="18"/>
              </w:rPr>
            </w:pPr>
            <w:r>
              <w:rPr>
                <w:rFonts w:ascii="宋体" w:hAnsi="宋体"/>
                <w:kern w:val="0"/>
                <w:sz w:val="18"/>
                <w:szCs w:val="18"/>
              </w:rPr>
              <w:t>★内存兼容性</w:t>
            </w:r>
          </w:p>
        </w:tc>
        <w:tc>
          <w:tcPr>
            <w:tcW w:w="8860" w:type="dxa"/>
            <w:tcBorders>
              <w:top w:val="nil"/>
              <w:left w:val="nil"/>
              <w:bottom w:val="single" w:color="auto" w:sz="4" w:space="0"/>
              <w:right w:val="single" w:color="auto" w:sz="4" w:space="0"/>
            </w:tcBorders>
            <w:vAlign w:val="center"/>
          </w:tcPr>
          <w:p w14:paraId="56E1C2A7">
            <w:pPr>
              <w:widowControl/>
              <w:jc w:val="left"/>
              <w:rPr>
                <w:rFonts w:ascii="宋体" w:hAnsi="宋体"/>
                <w:kern w:val="0"/>
                <w:sz w:val="18"/>
                <w:szCs w:val="18"/>
              </w:rPr>
            </w:pPr>
            <w:r>
              <w:rPr>
                <w:rFonts w:ascii="宋体" w:hAnsi="宋体"/>
                <w:kern w:val="0"/>
                <w:sz w:val="18"/>
                <w:szCs w:val="18"/>
              </w:rPr>
              <w:t>适配3种及以上厂商的内存产品，且均不低于产品支持的内存规格</w:t>
            </w:r>
          </w:p>
        </w:tc>
      </w:tr>
      <w:tr w14:paraId="068D0183">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3C4A0B9D">
            <w:pPr>
              <w:widowControl/>
              <w:jc w:val="center"/>
              <w:rPr>
                <w:rFonts w:ascii="宋体" w:hAnsi="宋体"/>
                <w:kern w:val="0"/>
                <w:sz w:val="18"/>
                <w:szCs w:val="18"/>
              </w:rPr>
            </w:pPr>
            <w:r>
              <w:rPr>
                <w:rFonts w:ascii="宋体" w:hAnsi="宋体"/>
                <w:kern w:val="0"/>
                <w:sz w:val="18"/>
                <w:szCs w:val="18"/>
              </w:rPr>
              <w:t>114</w:t>
            </w:r>
          </w:p>
        </w:tc>
        <w:tc>
          <w:tcPr>
            <w:tcW w:w="1220" w:type="dxa"/>
            <w:tcBorders>
              <w:top w:val="nil"/>
              <w:left w:val="nil"/>
              <w:bottom w:val="single" w:color="auto" w:sz="4" w:space="0"/>
              <w:right w:val="single" w:color="auto" w:sz="4" w:space="0"/>
            </w:tcBorders>
            <w:vAlign w:val="center"/>
          </w:tcPr>
          <w:p w14:paraId="7FAC517C">
            <w:pPr>
              <w:widowControl/>
              <w:jc w:val="left"/>
              <w:rPr>
                <w:rFonts w:ascii="宋体" w:hAnsi="宋体"/>
                <w:kern w:val="0"/>
                <w:sz w:val="18"/>
                <w:szCs w:val="18"/>
              </w:rPr>
            </w:pPr>
            <w:r>
              <w:rPr>
                <w:rFonts w:ascii="宋体" w:hAnsi="宋体"/>
                <w:kern w:val="0"/>
                <w:sz w:val="18"/>
                <w:szCs w:val="18"/>
              </w:rPr>
              <w:t>兼容要求</w:t>
            </w:r>
          </w:p>
        </w:tc>
        <w:tc>
          <w:tcPr>
            <w:tcW w:w="820" w:type="dxa"/>
            <w:vMerge w:val="continue"/>
            <w:tcBorders>
              <w:top w:val="nil"/>
              <w:left w:val="single" w:color="auto" w:sz="4" w:space="0"/>
              <w:bottom w:val="single" w:color="auto" w:sz="4" w:space="0"/>
              <w:right w:val="single" w:color="auto" w:sz="4" w:space="0"/>
            </w:tcBorders>
            <w:vAlign w:val="center"/>
          </w:tcPr>
          <w:p w14:paraId="10BEFEE1">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0A44C8E5">
            <w:pPr>
              <w:widowControl/>
              <w:jc w:val="left"/>
              <w:rPr>
                <w:rFonts w:ascii="宋体" w:hAnsi="宋体"/>
                <w:kern w:val="0"/>
                <w:sz w:val="18"/>
                <w:szCs w:val="18"/>
              </w:rPr>
            </w:pPr>
            <w:r>
              <w:rPr>
                <w:rFonts w:ascii="宋体" w:hAnsi="宋体"/>
                <w:kern w:val="0"/>
                <w:sz w:val="18"/>
                <w:szCs w:val="18"/>
              </w:rPr>
              <w:t>★固态存储兼容性</w:t>
            </w:r>
          </w:p>
        </w:tc>
        <w:tc>
          <w:tcPr>
            <w:tcW w:w="8860" w:type="dxa"/>
            <w:tcBorders>
              <w:top w:val="nil"/>
              <w:left w:val="nil"/>
              <w:bottom w:val="single" w:color="auto" w:sz="4" w:space="0"/>
              <w:right w:val="single" w:color="auto" w:sz="4" w:space="0"/>
            </w:tcBorders>
            <w:vAlign w:val="center"/>
          </w:tcPr>
          <w:p w14:paraId="0BDBB3CA">
            <w:pPr>
              <w:widowControl/>
              <w:jc w:val="left"/>
              <w:rPr>
                <w:rFonts w:ascii="宋体" w:hAnsi="宋体"/>
                <w:kern w:val="0"/>
                <w:sz w:val="18"/>
                <w:szCs w:val="18"/>
              </w:rPr>
            </w:pPr>
            <w:r>
              <w:rPr>
                <w:rFonts w:ascii="宋体" w:hAnsi="宋体"/>
                <w:kern w:val="0"/>
                <w:sz w:val="18"/>
                <w:szCs w:val="18"/>
              </w:rPr>
              <w:t>适配3种或以上厂商的固态存储产品，且均不低于产品支持的固态存储设备规格</w:t>
            </w:r>
          </w:p>
        </w:tc>
      </w:tr>
      <w:tr w14:paraId="308F4821">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6A7FA9BF">
            <w:pPr>
              <w:widowControl/>
              <w:jc w:val="center"/>
              <w:rPr>
                <w:rFonts w:ascii="宋体" w:hAnsi="宋体"/>
                <w:kern w:val="0"/>
                <w:sz w:val="18"/>
                <w:szCs w:val="18"/>
              </w:rPr>
            </w:pPr>
            <w:r>
              <w:rPr>
                <w:rFonts w:ascii="宋体" w:hAnsi="宋体"/>
                <w:kern w:val="0"/>
                <w:sz w:val="18"/>
                <w:szCs w:val="18"/>
              </w:rPr>
              <w:t>115</w:t>
            </w:r>
          </w:p>
        </w:tc>
        <w:tc>
          <w:tcPr>
            <w:tcW w:w="1220" w:type="dxa"/>
            <w:tcBorders>
              <w:top w:val="nil"/>
              <w:left w:val="nil"/>
              <w:bottom w:val="single" w:color="auto" w:sz="4" w:space="0"/>
              <w:right w:val="single" w:color="auto" w:sz="4" w:space="0"/>
            </w:tcBorders>
            <w:vAlign w:val="center"/>
          </w:tcPr>
          <w:p w14:paraId="3E9FF634">
            <w:pPr>
              <w:widowControl/>
              <w:jc w:val="left"/>
              <w:rPr>
                <w:rFonts w:ascii="宋体" w:hAnsi="宋体"/>
                <w:kern w:val="0"/>
                <w:sz w:val="18"/>
                <w:szCs w:val="18"/>
              </w:rPr>
            </w:pPr>
            <w:r>
              <w:rPr>
                <w:rFonts w:ascii="宋体" w:hAnsi="宋体"/>
                <w:kern w:val="0"/>
                <w:sz w:val="18"/>
                <w:szCs w:val="18"/>
              </w:rPr>
              <w:t>兼容要求</w:t>
            </w:r>
          </w:p>
        </w:tc>
        <w:tc>
          <w:tcPr>
            <w:tcW w:w="820" w:type="dxa"/>
            <w:vMerge w:val="continue"/>
            <w:tcBorders>
              <w:top w:val="nil"/>
              <w:left w:val="single" w:color="auto" w:sz="4" w:space="0"/>
              <w:bottom w:val="single" w:color="auto" w:sz="4" w:space="0"/>
              <w:right w:val="single" w:color="auto" w:sz="4" w:space="0"/>
            </w:tcBorders>
            <w:vAlign w:val="center"/>
          </w:tcPr>
          <w:p w14:paraId="19B4FF5C">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4FB5376D">
            <w:pPr>
              <w:widowControl/>
              <w:jc w:val="left"/>
              <w:rPr>
                <w:rFonts w:ascii="宋体" w:hAnsi="宋体"/>
                <w:kern w:val="0"/>
                <w:sz w:val="18"/>
                <w:szCs w:val="18"/>
              </w:rPr>
            </w:pPr>
            <w:r>
              <w:rPr>
                <w:rFonts w:ascii="宋体" w:hAnsi="宋体"/>
                <w:kern w:val="0"/>
                <w:sz w:val="18"/>
                <w:szCs w:val="18"/>
              </w:rPr>
              <w:t>FCHBA卡兼容性</w:t>
            </w:r>
          </w:p>
        </w:tc>
        <w:tc>
          <w:tcPr>
            <w:tcW w:w="8860" w:type="dxa"/>
            <w:tcBorders>
              <w:top w:val="nil"/>
              <w:left w:val="nil"/>
              <w:bottom w:val="single" w:color="auto" w:sz="4" w:space="0"/>
              <w:right w:val="single" w:color="auto" w:sz="4" w:space="0"/>
            </w:tcBorders>
            <w:vAlign w:val="center"/>
          </w:tcPr>
          <w:p w14:paraId="761C239D">
            <w:pPr>
              <w:widowControl/>
              <w:jc w:val="left"/>
              <w:rPr>
                <w:rFonts w:ascii="宋体" w:hAnsi="宋体"/>
                <w:kern w:val="0"/>
                <w:sz w:val="18"/>
                <w:szCs w:val="18"/>
              </w:rPr>
            </w:pPr>
            <w:r>
              <w:rPr>
                <w:rFonts w:ascii="宋体" w:hAnsi="宋体"/>
                <w:kern w:val="0"/>
                <w:sz w:val="18"/>
                <w:szCs w:val="18"/>
              </w:rPr>
              <w:t>FCHBA应适配两种或以上厂商产品</w:t>
            </w:r>
          </w:p>
        </w:tc>
      </w:tr>
      <w:tr w14:paraId="7D2C0392">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03CEEAD7">
            <w:pPr>
              <w:widowControl/>
              <w:jc w:val="center"/>
              <w:rPr>
                <w:rFonts w:ascii="宋体" w:hAnsi="宋体"/>
                <w:kern w:val="0"/>
                <w:sz w:val="18"/>
                <w:szCs w:val="18"/>
              </w:rPr>
            </w:pPr>
            <w:r>
              <w:rPr>
                <w:rFonts w:ascii="宋体" w:hAnsi="宋体"/>
                <w:kern w:val="0"/>
                <w:sz w:val="18"/>
                <w:szCs w:val="18"/>
              </w:rPr>
              <w:t>116</w:t>
            </w:r>
          </w:p>
        </w:tc>
        <w:tc>
          <w:tcPr>
            <w:tcW w:w="1220" w:type="dxa"/>
            <w:tcBorders>
              <w:top w:val="nil"/>
              <w:left w:val="nil"/>
              <w:bottom w:val="single" w:color="auto" w:sz="4" w:space="0"/>
              <w:right w:val="single" w:color="auto" w:sz="4" w:space="0"/>
            </w:tcBorders>
            <w:vAlign w:val="center"/>
          </w:tcPr>
          <w:p w14:paraId="3413ED35">
            <w:pPr>
              <w:widowControl/>
              <w:jc w:val="left"/>
              <w:rPr>
                <w:rFonts w:ascii="宋体" w:hAnsi="宋体"/>
                <w:kern w:val="0"/>
                <w:sz w:val="18"/>
                <w:szCs w:val="18"/>
              </w:rPr>
            </w:pPr>
            <w:r>
              <w:rPr>
                <w:rFonts w:ascii="宋体" w:hAnsi="宋体"/>
                <w:kern w:val="0"/>
                <w:sz w:val="18"/>
                <w:szCs w:val="18"/>
              </w:rPr>
              <w:t>兼容要求</w:t>
            </w:r>
          </w:p>
        </w:tc>
        <w:tc>
          <w:tcPr>
            <w:tcW w:w="820" w:type="dxa"/>
            <w:vMerge w:val="continue"/>
            <w:tcBorders>
              <w:top w:val="nil"/>
              <w:left w:val="single" w:color="auto" w:sz="4" w:space="0"/>
              <w:bottom w:val="single" w:color="auto" w:sz="4" w:space="0"/>
              <w:right w:val="single" w:color="auto" w:sz="4" w:space="0"/>
            </w:tcBorders>
            <w:vAlign w:val="center"/>
          </w:tcPr>
          <w:p w14:paraId="7B7FDF72">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73AC0668">
            <w:pPr>
              <w:widowControl/>
              <w:jc w:val="left"/>
              <w:rPr>
                <w:rFonts w:ascii="宋体" w:hAnsi="宋体"/>
                <w:kern w:val="0"/>
                <w:sz w:val="18"/>
                <w:szCs w:val="18"/>
              </w:rPr>
            </w:pPr>
            <w:r>
              <w:rPr>
                <w:rFonts w:ascii="宋体" w:hAnsi="宋体"/>
                <w:kern w:val="0"/>
                <w:sz w:val="18"/>
                <w:szCs w:val="18"/>
              </w:rPr>
              <w:t>RAID卡兼容性</w:t>
            </w:r>
          </w:p>
        </w:tc>
        <w:tc>
          <w:tcPr>
            <w:tcW w:w="8860" w:type="dxa"/>
            <w:tcBorders>
              <w:top w:val="nil"/>
              <w:left w:val="nil"/>
              <w:bottom w:val="single" w:color="auto" w:sz="4" w:space="0"/>
              <w:right w:val="single" w:color="auto" w:sz="4" w:space="0"/>
            </w:tcBorders>
            <w:vAlign w:val="center"/>
          </w:tcPr>
          <w:p w14:paraId="297EB680">
            <w:pPr>
              <w:widowControl/>
              <w:jc w:val="left"/>
              <w:rPr>
                <w:rFonts w:ascii="宋体" w:hAnsi="宋体"/>
                <w:kern w:val="0"/>
                <w:sz w:val="18"/>
                <w:szCs w:val="18"/>
              </w:rPr>
            </w:pPr>
            <w:r>
              <w:rPr>
                <w:rFonts w:ascii="宋体" w:hAnsi="宋体"/>
                <w:kern w:val="0"/>
                <w:sz w:val="18"/>
                <w:szCs w:val="18"/>
              </w:rPr>
              <w:t>RAID卡应适配两种或以上厂商产品</w:t>
            </w:r>
          </w:p>
        </w:tc>
      </w:tr>
      <w:tr w14:paraId="7B24BDAE">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1C91E549">
            <w:pPr>
              <w:widowControl/>
              <w:jc w:val="center"/>
              <w:rPr>
                <w:rFonts w:ascii="宋体" w:hAnsi="宋体"/>
                <w:kern w:val="0"/>
                <w:sz w:val="18"/>
                <w:szCs w:val="18"/>
              </w:rPr>
            </w:pPr>
            <w:r>
              <w:rPr>
                <w:rFonts w:ascii="宋体" w:hAnsi="宋体"/>
                <w:kern w:val="0"/>
                <w:sz w:val="18"/>
                <w:szCs w:val="18"/>
              </w:rPr>
              <w:t>117</w:t>
            </w:r>
          </w:p>
        </w:tc>
        <w:tc>
          <w:tcPr>
            <w:tcW w:w="1220" w:type="dxa"/>
            <w:tcBorders>
              <w:top w:val="nil"/>
              <w:left w:val="nil"/>
              <w:bottom w:val="single" w:color="auto" w:sz="4" w:space="0"/>
              <w:right w:val="single" w:color="auto" w:sz="4" w:space="0"/>
            </w:tcBorders>
            <w:vAlign w:val="center"/>
          </w:tcPr>
          <w:p w14:paraId="2415F511">
            <w:pPr>
              <w:widowControl/>
              <w:jc w:val="left"/>
              <w:rPr>
                <w:rFonts w:ascii="宋体" w:hAnsi="宋体"/>
                <w:kern w:val="0"/>
                <w:sz w:val="18"/>
                <w:szCs w:val="18"/>
              </w:rPr>
            </w:pPr>
            <w:r>
              <w:rPr>
                <w:rFonts w:ascii="宋体" w:hAnsi="宋体"/>
                <w:kern w:val="0"/>
                <w:sz w:val="18"/>
                <w:szCs w:val="18"/>
              </w:rPr>
              <w:t>兼容要求</w:t>
            </w:r>
          </w:p>
        </w:tc>
        <w:tc>
          <w:tcPr>
            <w:tcW w:w="820" w:type="dxa"/>
            <w:vMerge w:val="continue"/>
            <w:tcBorders>
              <w:top w:val="nil"/>
              <w:left w:val="single" w:color="auto" w:sz="4" w:space="0"/>
              <w:bottom w:val="single" w:color="auto" w:sz="4" w:space="0"/>
              <w:right w:val="single" w:color="auto" w:sz="4" w:space="0"/>
            </w:tcBorders>
            <w:vAlign w:val="center"/>
          </w:tcPr>
          <w:p w14:paraId="796754F4">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0C33154C">
            <w:pPr>
              <w:widowControl/>
              <w:jc w:val="left"/>
              <w:rPr>
                <w:rFonts w:ascii="宋体" w:hAnsi="宋体"/>
                <w:kern w:val="0"/>
                <w:sz w:val="18"/>
                <w:szCs w:val="18"/>
              </w:rPr>
            </w:pPr>
            <w:r>
              <w:rPr>
                <w:rFonts w:ascii="宋体" w:hAnsi="宋体"/>
                <w:kern w:val="0"/>
                <w:sz w:val="18"/>
                <w:szCs w:val="18"/>
              </w:rPr>
              <w:t>★网卡兼容性</w:t>
            </w:r>
          </w:p>
        </w:tc>
        <w:tc>
          <w:tcPr>
            <w:tcW w:w="8860" w:type="dxa"/>
            <w:tcBorders>
              <w:top w:val="nil"/>
              <w:left w:val="nil"/>
              <w:bottom w:val="single" w:color="auto" w:sz="4" w:space="0"/>
              <w:right w:val="single" w:color="auto" w:sz="4" w:space="0"/>
            </w:tcBorders>
            <w:vAlign w:val="center"/>
          </w:tcPr>
          <w:p w14:paraId="1EC4B371">
            <w:pPr>
              <w:widowControl/>
              <w:jc w:val="left"/>
              <w:rPr>
                <w:rFonts w:ascii="宋体" w:hAnsi="宋体"/>
                <w:kern w:val="0"/>
                <w:sz w:val="18"/>
                <w:szCs w:val="18"/>
              </w:rPr>
            </w:pPr>
            <w:r>
              <w:rPr>
                <w:rFonts w:ascii="宋体" w:hAnsi="宋体"/>
                <w:kern w:val="0"/>
                <w:sz w:val="18"/>
                <w:szCs w:val="18"/>
              </w:rPr>
              <w:t>网卡应适配两种或以上厂商产品</w:t>
            </w:r>
          </w:p>
        </w:tc>
      </w:tr>
      <w:tr w14:paraId="7EB70758">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4B8DAEED">
            <w:pPr>
              <w:widowControl/>
              <w:jc w:val="center"/>
              <w:rPr>
                <w:rFonts w:ascii="宋体" w:hAnsi="宋体"/>
                <w:kern w:val="0"/>
                <w:sz w:val="18"/>
                <w:szCs w:val="18"/>
              </w:rPr>
            </w:pPr>
            <w:r>
              <w:rPr>
                <w:rFonts w:ascii="宋体" w:hAnsi="宋体"/>
                <w:kern w:val="0"/>
                <w:sz w:val="18"/>
                <w:szCs w:val="18"/>
              </w:rPr>
              <w:t>118</w:t>
            </w:r>
          </w:p>
        </w:tc>
        <w:tc>
          <w:tcPr>
            <w:tcW w:w="1220" w:type="dxa"/>
            <w:tcBorders>
              <w:top w:val="nil"/>
              <w:left w:val="nil"/>
              <w:bottom w:val="single" w:color="auto" w:sz="4" w:space="0"/>
              <w:right w:val="single" w:color="auto" w:sz="4" w:space="0"/>
            </w:tcBorders>
            <w:vAlign w:val="center"/>
          </w:tcPr>
          <w:p w14:paraId="157C9789">
            <w:pPr>
              <w:widowControl/>
              <w:jc w:val="left"/>
              <w:rPr>
                <w:rFonts w:ascii="宋体" w:hAnsi="宋体"/>
                <w:kern w:val="0"/>
                <w:sz w:val="18"/>
                <w:szCs w:val="18"/>
              </w:rPr>
            </w:pPr>
            <w:r>
              <w:rPr>
                <w:rFonts w:ascii="宋体" w:hAnsi="宋体"/>
                <w:kern w:val="0"/>
                <w:sz w:val="18"/>
                <w:szCs w:val="18"/>
              </w:rPr>
              <w:t>兼容要求</w:t>
            </w:r>
          </w:p>
        </w:tc>
        <w:tc>
          <w:tcPr>
            <w:tcW w:w="820" w:type="dxa"/>
            <w:vMerge w:val="continue"/>
            <w:tcBorders>
              <w:top w:val="nil"/>
              <w:left w:val="single" w:color="auto" w:sz="4" w:space="0"/>
              <w:bottom w:val="single" w:color="auto" w:sz="4" w:space="0"/>
              <w:right w:val="single" w:color="auto" w:sz="4" w:space="0"/>
            </w:tcBorders>
            <w:vAlign w:val="center"/>
          </w:tcPr>
          <w:p w14:paraId="67CE29A6">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6B20BF10">
            <w:pPr>
              <w:widowControl/>
              <w:jc w:val="left"/>
              <w:rPr>
                <w:rFonts w:ascii="宋体" w:hAnsi="宋体"/>
                <w:kern w:val="0"/>
                <w:sz w:val="18"/>
                <w:szCs w:val="18"/>
              </w:rPr>
            </w:pPr>
            <w:r>
              <w:rPr>
                <w:rFonts w:ascii="宋体" w:hAnsi="宋体"/>
                <w:kern w:val="0"/>
                <w:sz w:val="18"/>
                <w:szCs w:val="18"/>
              </w:rPr>
              <w:t>★功能卡兼容性</w:t>
            </w:r>
          </w:p>
        </w:tc>
        <w:tc>
          <w:tcPr>
            <w:tcW w:w="8860" w:type="dxa"/>
            <w:tcBorders>
              <w:top w:val="nil"/>
              <w:left w:val="nil"/>
              <w:bottom w:val="single" w:color="auto" w:sz="4" w:space="0"/>
              <w:right w:val="single" w:color="auto" w:sz="4" w:space="0"/>
            </w:tcBorders>
            <w:vAlign w:val="center"/>
          </w:tcPr>
          <w:p w14:paraId="624EA905">
            <w:pPr>
              <w:widowControl/>
              <w:jc w:val="left"/>
              <w:rPr>
                <w:rFonts w:ascii="宋体" w:hAnsi="宋体"/>
                <w:kern w:val="0"/>
                <w:sz w:val="18"/>
                <w:szCs w:val="18"/>
              </w:rPr>
            </w:pPr>
            <w:r>
              <w:rPr>
                <w:rFonts w:ascii="宋体" w:hAnsi="宋体"/>
                <w:kern w:val="0"/>
                <w:sz w:val="18"/>
                <w:szCs w:val="18"/>
              </w:rPr>
              <w:t>内置或适配符合PCIe的功能卡，如：网络功能卡、存储功能卡及图形显示功能卡</w:t>
            </w:r>
          </w:p>
        </w:tc>
      </w:tr>
      <w:tr w14:paraId="3A8B274F">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4EA1B5B3">
            <w:pPr>
              <w:widowControl/>
              <w:jc w:val="center"/>
              <w:rPr>
                <w:rFonts w:ascii="宋体" w:hAnsi="宋体"/>
                <w:kern w:val="0"/>
                <w:sz w:val="18"/>
                <w:szCs w:val="18"/>
              </w:rPr>
            </w:pPr>
            <w:r>
              <w:rPr>
                <w:rFonts w:ascii="宋体" w:hAnsi="宋体"/>
                <w:kern w:val="0"/>
                <w:sz w:val="18"/>
                <w:szCs w:val="18"/>
              </w:rPr>
              <w:t>119</w:t>
            </w:r>
          </w:p>
        </w:tc>
        <w:tc>
          <w:tcPr>
            <w:tcW w:w="1220" w:type="dxa"/>
            <w:tcBorders>
              <w:top w:val="nil"/>
              <w:left w:val="nil"/>
              <w:bottom w:val="single" w:color="auto" w:sz="4" w:space="0"/>
              <w:right w:val="single" w:color="auto" w:sz="4" w:space="0"/>
            </w:tcBorders>
            <w:vAlign w:val="center"/>
          </w:tcPr>
          <w:p w14:paraId="2CC48240">
            <w:pPr>
              <w:widowControl/>
              <w:jc w:val="left"/>
              <w:rPr>
                <w:rFonts w:ascii="宋体" w:hAnsi="宋体"/>
                <w:kern w:val="0"/>
                <w:sz w:val="18"/>
                <w:szCs w:val="18"/>
              </w:rPr>
            </w:pPr>
            <w:r>
              <w:rPr>
                <w:rFonts w:ascii="宋体" w:hAnsi="宋体"/>
                <w:kern w:val="0"/>
                <w:sz w:val="18"/>
                <w:szCs w:val="18"/>
              </w:rPr>
              <w:t>兼容要求</w:t>
            </w:r>
          </w:p>
        </w:tc>
        <w:tc>
          <w:tcPr>
            <w:tcW w:w="820" w:type="dxa"/>
            <w:tcBorders>
              <w:top w:val="nil"/>
              <w:left w:val="nil"/>
              <w:bottom w:val="single" w:color="auto" w:sz="4" w:space="0"/>
              <w:right w:val="single" w:color="auto" w:sz="4" w:space="0"/>
            </w:tcBorders>
            <w:vAlign w:val="center"/>
          </w:tcPr>
          <w:p w14:paraId="09C58C26">
            <w:pPr>
              <w:widowControl/>
              <w:jc w:val="center"/>
              <w:rPr>
                <w:rFonts w:ascii="宋体" w:hAnsi="宋体"/>
                <w:kern w:val="0"/>
                <w:sz w:val="18"/>
                <w:szCs w:val="18"/>
              </w:rPr>
            </w:pPr>
            <w:r>
              <w:rPr>
                <w:rFonts w:ascii="宋体" w:hAnsi="宋体"/>
                <w:kern w:val="0"/>
                <w:sz w:val="18"/>
                <w:szCs w:val="18"/>
              </w:rPr>
              <w:t>外设兼容性</w:t>
            </w:r>
          </w:p>
        </w:tc>
        <w:tc>
          <w:tcPr>
            <w:tcW w:w="1320" w:type="dxa"/>
            <w:tcBorders>
              <w:top w:val="nil"/>
              <w:left w:val="nil"/>
              <w:bottom w:val="single" w:color="auto" w:sz="4" w:space="0"/>
              <w:right w:val="single" w:color="auto" w:sz="4" w:space="0"/>
            </w:tcBorders>
            <w:vAlign w:val="center"/>
          </w:tcPr>
          <w:p w14:paraId="7A9E3870">
            <w:pPr>
              <w:widowControl/>
              <w:jc w:val="left"/>
              <w:rPr>
                <w:rFonts w:ascii="宋体" w:hAnsi="宋体"/>
                <w:kern w:val="0"/>
                <w:sz w:val="18"/>
                <w:szCs w:val="18"/>
              </w:rPr>
            </w:pPr>
            <w:r>
              <w:rPr>
                <w:rFonts w:ascii="宋体" w:hAnsi="宋体"/>
                <w:kern w:val="0"/>
                <w:sz w:val="18"/>
                <w:szCs w:val="18"/>
              </w:rPr>
              <w:t>★外设兼容性</w:t>
            </w:r>
          </w:p>
        </w:tc>
        <w:tc>
          <w:tcPr>
            <w:tcW w:w="8860" w:type="dxa"/>
            <w:tcBorders>
              <w:top w:val="nil"/>
              <w:left w:val="nil"/>
              <w:bottom w:val="single" w:color="auto" w:sz="4" w:space="0"/>
              <w:right w:val="single" w:color="auto" w:sz="4" w:space="0"/>
            </w:tcBorders>
            <w:vAlign w:val="center"/>
          </w:tcPr>
          <w:p w14:paraId="22E80817">
            <w:pPr>
              <w:widowControl/>
              <w:jc w:val="left"/>
              <w:rPr>
                <w:rFonts w:ascii="宋体" w:hAnsi="宋体"/>
                <w:kern w:val="0"/>
                <w:sz w:val="18"/>
                <w:szCs w:val="18"/>
              </w:rPr>
            </w:pPr>
            <w:r>
              <w:rPr>
                <w:rFonts w:ascii="宋体" w:hAnsi="宋体"/>
                <w:kern w:val="0"/>
                <w:sz w:val="18"/>
                <w:szCs w:val="18"/>
              </w:rPr>
              <w:t>兼容多种主流生产商的外部设备，包括显示器、键盘、鼠标、闪存盘、移动硬盘、USB光驱及KVM等，要求使用不同厂商的外部设备时，系统均能正常识别和安装驱动</w:t>
            </w:r>
          </w:p>
        </w:tc>
      </w:tr>
      <w:tr w14:paraId="41DCA690">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076FCA15">
            <w:pPr>
              <w:widowControl/>
              <w:jc w:val="center"/>
              <w:rPr>
                <w:rFonts w:ascii="宋体" w:hAnsi="宋体"/>
                <w:kern w:val="0"/>
                <w:sz w:val="18"/>
                <w:szCs w:val="18"/>
              </w:rPr>
            </w:pPr>
            <w:r>
              <w:rPr>
                <w:rFonts w:ascii="宋体" w:hAnsi="宋体"/>
                <w:kern w:val="0"/>
                <w:sz w:val="18"/>
                <w:szCs w:val="18"/>
              </w:rPr>
              <w:t>120</w:t>
            </w:r>
          </w:p>
        </w:tc>
        <w:tc>
          <w:tcPr>
            <w:tcW w:w="1220" w:type="dxa"/>
            <w:tcBorders>
              <w:top w:val="nil"/>
              <w:left w:val="nil"/>
              <w:bottom w:val="single" w:color="auto" w:sz="4" w:space="0"/>
              <w:right w:val="single" w:color="auto" w:sz="4" w:space="0"/>
            </w:tcBorders>
            <w:vAlign w:val="center"/>
          </w:tcPr>
          <w:p w14:paraId="66A84CEF">
            <w:pPr>
              <w:widowControl/>
              <w:jc w:val="left"/>
              <w:rPr>
                <w:rFonts w:ascii="宋体" w:hAnsi="宋体"/>
                <w:kern w:val="0"/>
                <w:sz w:val="18"/>
                <w:szCs w:val="18"/>
              </w:rPr>
            </w:pPr>
            <w:r>
              <w:rPr>
                <w:rFonts w:ascii="宋体" w:hAnsi="宋体"/>
                <w:kern w:val="0"/>
                <w:sz w:val="18"/>
                <w:szCs w:val="18"/>
              </w:rPr>
              <w:t>兼容要求</w:t>
            </w:r>
          </w:p>
        </w:tc>
        <w:tc>
          <w:tcPr>
            <w:tcW w:w="820" w:type="dxa"/>
            <w:vMerge w:val="restart"/>
            <w:tcBorders>
              <w:top w:val="nil"/>
              <w:left w:val="single" w:color="auto" w:sz="4" w:space="0"/>
              <w:bottom w:val="single" w:color="auto" w:sz="4" w:space="0"/>
              <w:right w:val="single" w:color="auto" w:sz="4" w:space="0"/>
            </w:tcBorders>
            <w:vAlign w:val="center"/>
          </w:tcPr>
          <w:p w14:paraId="619C6DB3">
            <w:pPr>
              <w:widowControl/>
              <w:jc w:val="center"/>
              <w:rPr>
                <w:rFonts w:ascii="宋体" w:hAnsi="宋体"/>
                <w:kern w:val="0"/>
                <w:sz w:val="18"/>
                <w:szCs w:val="18"/>
              </w:rPr>
            </w:pPr>
            <w:r>
              <w:rPr>
                <w:rFonts w:ascii="宋体" w:hAnsi="宋体"/>
                <w:kern w:val="0"/>
                <w:sz w:val="18"/>
                <w:szCs w:val="18"/>
              </w:rPr>
              <w:t>软件兼容性</w:t>
            </w:r>
          </w:p>
        </w:tc>
        <w:tc>
          <w:tcPr>
            <w:tcW w:w="1320" w:type="dxa"/>
            <w:tcBorders>
              <w:top w:val="nil"/>
              <w:left w:val="nil"/>
              <w:bottom w:val="single" w:color="auto" w:sz="4" w:space="0"/>
              <w:right w:val="single" w:color="auto" w:sz="4" w:space="0"/>
            </w:tcBorders>
            <w:vAlign w:val="center"/>
          </w:tcPr>
          <w:p w14:paraId="4929560D">
            <w:pPr>
              <w:widowControl/>
              <w:jc w:val="left"/>
              <w:rPr>
                <w:rFonts w:ascii="宋体" w:hAnsi="宋体"/>
                <w:kern w:val="0"/>
                <w:sz w:val="18"/>
                <w:szCs w:val="18"/>
              </w:rPr>
            </w:pPr>
            <w:r>
              <w:rPr>
                <w:rFonts w:ascii="宋体" w:hAnsi="宋体"/>
                <w:kern w:val="0"/>
                <w:sz w:val="18"/>
                <w:szCs w:val="18"/>
              </w:rPr>
              <w:t>★数据库兼容</w:t>
            </w:r>
          </w:p>
        </w:tc>
        <w:tc>
          <w:tcPr>
            <w:tcW w:w="8860" w:type="dxa"/>
            <w:tcBorders>
              <w:top w:val="nil"/>
              <w:left w:val="nil"/>
              <w:bottom w:val="single" w:color="auto" w:sz="4" w:space="0"/>
              <w:right w:val="single" w:color="auto" w:sz="4" w:space="0"/>
            </w:tcBorders>
            <w:vAlign w:val="center"/>
          </w:tcPr>
          <w:p w14:paraId="51D70B63">
            <w:pPr>
              <w:widowControl/>
              <w:jc w:val="left"/>
              <w:rPr>
                <w:rFonts w:ascii="宋体" w:hAnsi="宋体"/>
                <w:kern w:val="0"/>
                <w:sz w:val="18"/>
                <w:szCs w:val="18"/>
              </w:rPr>
            </w:pPr>
            <w:r>
              <w:rPr>
                <w:rFonts w:ascii="宋体" w:hAnsi="宋体"/>
                <w:kern w:val="0"/>
                <w:sz w:val="18"/>
                <w:szCs w:val="18"/>
              </w:rPr>
              <w:t>兼容3个及以上厂商的数据库产品</w:t>
            </w:r>
          </w:p>
        </w:tc>
      </w:tr>
      <w:tr w14:paraId="7E82E95E">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48EEB4BC">
            <w:pPr>
              <w:widowControl/>
              <w:jc w:val="center"/>
              <w:rPr>
                <w:rFonts w:ascii="宋体" w:hAnsi="宋体"/>
                <w:kern w:val="0"/>
                <w:sz w:val="18"/>
                <w:szCs w:val="18"/>
              </w:rPr>
            </w:pPr>
            <w:r>
              <w:rPr>
                <w:rFonts w:ascii="宋体" w:hAnsi="宋体"/>
                <w:kern w:val="0"/>
                <w:sz w:val="18"/>
                <w:szCs w:val="18"/>
              </w:rPr>
              <w:t>121</w:t>
            </w:r>
          </w:p>
        </w:tc>
        <w:tc>
          <w:tcPr>
            <w:tcW w:w="1220" w:type="dxa"/>
            <w:tcBorders>
              <w:top w:val="nil"/>
              <w:left w:val="nil"/>
              <w:bottom w:val="single" w:color="auto" w:sz="4" w:space="0"/>
              <w:right w:val="single" w:color="auto" w:sz="4" w:space="0"/>
            </w:tcBorders>
            <w:vAlign w:val="center"/>
          </w:tcPr>
          <w:p w14:paraId="089862A6">
            <w:pPr>
              <w:widowControl/>
              <w:jc w:val="left"/>
              <w:rPr>
                <w:rFonts w:ascii="宋体" w:hAnsi="宋体"/>
                <w:kern w:val="0"/>
                <w:sz w:val="18"/>
                <w:szCs w:val="18"/>
              </w:rPr>
            </w:pPr>
            <w:r>
              <w:rPr>
                <w:rFonts w:ascii="宋体" w:hAnsi="宋体"/>
                <w:kern w:val="0"/>
                <w:sz w:val="18"/>
                <w:szCs w:val="18"/>
              </w:rPr>
              <w:t>兼容要求</w:t>
            </w:r>
          </w:p>
        </w:tc>
        <w:tc>
          <w:tcPr>
            <w:tcW w:w="820" w:type="dxa"/>
            <w:vMerge w:val="continue"/>
            <w:tcBorders>
              <w:top w:val="nil"/>
              <w:left w:val="single" w:color="auto" w:sz="4" w:space="0"/>
              <w:bottom w:val="single" w:color="auto" w:sz="4" w:space="0"/>
              <w:right w:val="single" w:color="auto" w:sz="4" w:space="0"/>
            </w:tcBorders>
            <w:vAlign w:val="center"/>
          </w:tcPr>
          <w:p w14:paraId="590D1F51">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67775C49">
            <w:pPr>
              <w:widowControl/>
              <w:jc w:val="left"/>
              <w:rPr>
                <w:rFonts w:ascii="宋体" w:hAnsi="宋体"/>
                <w:kern w:val="0"/>
                <w:sz w:val="18"/>
                <w:szCs w:val="18"/>
              </w:rPr>
            </w:pPr>
            <w:r>
              <w:rPr>
                <w:rFonts w:ascii="宋体" w:hAnsi="宋体"/>
                <w:kern w:val="0"/>
                <w:sz w:val="18"/>
                <w:szCs w:val="18"/>
              </w:rPr>
              <w:t>★中间件兼容</w:t>
            </w:r>
          </w:p>
        </w:tc>
        <w:tc>
          <w:tcPr>
            <w:tcW w:w="8860" w:type="dxa"/>
            <w:tcBorders>
              <w:top w:val="nil"/>
              <w:left w:val="nil"/>
              <w:bottom w:val="single" w:color="auto" w:sz="4" w:space="0"/>
              <w:right w:val="single" w:color="auto" w:sz="4" w:space="0"/>
            </w:tcBorders>
            <w:vAlign w:val="center"/>
          </w:tcPr>
          <w:p w14:paraId="691C5201">
            <w:pPr>
              <w:widowControl/>
              <w:jc w:val="left"/>
              <w:rPr>
                <w:rFonts w:ascii="宋体" w:hAnsi="宋体"/>
                <w:kern w:val="0"/>
                <w:sz w:val="18"/>
                <w:szCs w:val="18"/>
              </w:rPr>
            </w:pPr>
            <w:r>
              <w:rPr>
                <w:rFonts w:ascii="宋体" w:hAnsi="宋体"/>
                <w:kern w:val="0"/>
                <w:sz w:val="18"/>
                <w:szCs w:val="18"/>
              </w:rPr>
              <w:t>兼容3个及以上厂商的中间件产品</w:t>
            </w:r>
          </w:p>
        </w:tc>
      </w:tr>
      <w:tr w14:paraId="5A330655">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7F3FC8C2">
            <w:pPr>
              <w:widowControl/>
              <w:jc w:val="center"/>
              <w:rPr>
                <w:rFonts w:ascii="宋体" w:hAnsi="宋体"/>
                <w:kern w:val="0"/>
                <w:sz w:val="18"/>
                <w:szCs w:val="18"/>
              </w:rPr>
            </w:pPr>
            <w:r>
              <w:rPr>
                <w:rFonts w:ascii="宋体" w:hAnsi="宋体"/>
                <w:kern w:val="0"/>
                <w:sz w:val="18"/>
                <w:szCs w:val="18"/>
              </w:rPr>
              <w:t>122</w:t>
            </w:r>
          </w:p>
        </w:tc>
        <w:tc>
          <w:tcPr>
            <w:tcW w:w="1220" w:type="dxa"/>
            <w:tcBorders>
              <w:top w:val="nil"/>
              <w:left w:val="nil"/>
              <w:bottom w:val="single" w:color="auto" w:sz="4" w:space="0"/>
              <w:right w:val="single" w:color="auto" w:sz="4" w:space="0"/>
            </w:tcBorders>
            <w:vAlign w:val="center"/>
          </w:tcPr>
          <w:p w14:paraId="4D05C65E">
            <w:pPr>
              <w:widowControl/>
              <w:jc w:val="left"/>
              <w:rPr>
                <w:rFonts w:ascii="宋体" w:hAnsi="宋体"/>
                <w:kern w:val="0"/>
                <w:sz w:val="18"/>
                <w:szCs w:val="18"/>
              </w:rPr>
            </w:pPr>
            <w:r>
              <w:rPr>
                <w:rFonts w:ascii="宋体" w:hAnsi="宋体"/>
                <w:kern w:val="0"/>
                <w:sz w:val="18"/>
                <w:szCs w:val="18"/>
              </w:rPr>
              <w:t>兼容要求</w:t>
            </w:r>
          </w:p>
        </w:tc>
        <w:tc>
          <w:tcPr>
            <w:tcW w:w="820" w:type="dxa"/>
            <w:vMerge w:val="continue"/>
            <w:tcBorders>
              <w:top w:val="nil"/>
              <w:left w:val="single" w:color="auto" w:sz="4" w:space="0"/>
              <w:bottom w:val="single" w:color="auto" w:sz="4" w:space="0"/>
              <w:right w:val="single" w:color="auto" w:sz="4" w:space="0"/>
            </w:tcBorders>
            <w:vAlign w:val="center"/>
          </w:tcPr>
          <w:p w14:paraId="7197E2C8">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6AE3FC4E">
            <w:pPr>
              <w:widowControl/>
              <w:jc w:val="left"/>
              <w:rPr>
                <w:rFonts w:ascii="宋体" w:hAnsi="宋体"/>
                <w:kern w:val="0"/>
                <w:sz w:val="18"/>
                <w:szCs w:val="18"/>
              </w:rPr>
            </w:pPr>
            <w:r>
              <w:rPr>
                <w:rFonts w:ascii="宋体" w:hAnsi="宋体"/>
                <w:kern w:val="0"/>
                <w:sz w:val="18"/>
                <w:szCs w:val="18"/>
              </w:rPr>
              <w:t>★平台软件兼容</w:t>
            </w:r>
          </w:p>
        </w:tc>
        <w:tc>
          <w:tcPr>
            <w:tcW w:w="8860" w:type="dxa"/>
            <w:tcBorders>
              <w:top w:val="nil"/>
              <w:left w:val="nil"/>
              <w:bottom w:val="single" w:color="auto" w:sz="4" w:space="0"/>
              <w:right w:val="single" w:color="auto" w:sz="4" w:space="0"/>
            </w:tcBorders>
            <w:vAlign w:val="center"/>
          </w:tcPr>
          <w:p w14:paraId="47531AAC">
            <w:pPr>
              <w:widowControl/>
              <w:jc w:val="left"/>
              <w:rPr>
                <w:rFonts w:ascii="宋体" w:hAnsi="宋体"/>
                <w:kern w:val="0"/>
                <w:sz w:val="18"/>
                <w:szCs w:val="18"/>
              </w:rPr>
            </w:pPr>
            <w:r>
              <w:rPr>
                <w:rFonts w:ascii="宋体" w:hAnsi="宋体"/>
                <w:kern w:val="0"/>
                <w:sz w:val="18"/>
                <w:szCs w:val="18"/>
              </w:rPr>
              <w:t>兼容3个及以上厂商的大数据平台</w:t>
            </w:r>
          </w:p>
        </w:tc>
      </w:tr>
      <w:tr w14:paraId="392679D7">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7286E083">
            <w:pPr>
              <w:widowControl/>
              <w:jc w:val="center"/>
              <w:rPr>
                <w:rFonts w:ascii="宋体" w:hAnsi="宋体"/>
                <w:kern w:val="0"/>
                <w:sz w:val="18"/>
                <w:szCs w:val="18"/>
              </w:rPr>
            </w:pPr>
            <w:r>
              <w:rPr>
                <w:rFonts w:ascii="宋体" w:hAnsi="宋体"/>
                <w:kern w:val="0"/>
                <w:sz w:val="18"/>
                <w:szCs w:val="18"/>
              </w:rPr>
              <w:t>123</w:t>
            </w:r>
          </w:p>
        </w:tc>
        <w:tc>
          <w:tcPr>
            <w:tcW w:w="1220" w:type="dxa"/>
            <w:tcBorders>
              <w:top w:val="nil"/>
              <w:left w:val="nil"/>
              <w:bottom w:val="single" w:color="auto" w:sz="4" w:space="0"/>
              <w:right w:val="single" w:color="auto" w:sz="4" w:space="0"/>
            </w:tcBorders>
            <w:vAlign w:val="center"/>
          </w:tcPr>
          <w:p w14:paraId="3B600889">
            <w:pPr>
              <w:widowControl/>
              <w:jc w:val="left"/>
              <w:rPr>
                <w:rFonts w:ascii="宋体" w:hAnsi="宋体"/>
                <w:kern w:val="0"/>
                <w:sz w:val="18"/>
                <w:szCs w:val="18"/>
              </w:rPr>
            </w:pPr>
            <w:r>
              <w:rPr>
                <w:rFonts w:ascii="宋体" w:hAnsi="宋体"/>
                <w:kern w:val="0"/>
                <w:sz w:val="18"/>
                <w:szCs w:val="18"/>
              </w:rPr>
              <w:t>兼容要求</w:t>
            </w:r>
          </w:p>
        </w:tc>
        <w:tc>
          <w:tcPr>
            <w:tcW w:w="820" w:type="dxa"/>
            <w:vMerge w:val="continue"/>
            <w:tcBorders>
              <w:top w:val="nil"/>
              <w:left w:val="single" w:color="auto" w:sz="4" w:space="0"/>
              <w:bottom w:val="single" w:color="auto" w:sz="4" w:space="0"/>
              <w:right w:val="single" w:color="auto" w:sz="4" w:space="0"/>
            </w:tcBorders>
            <w:vAlign w:val="center"/>
          </w:tcPr>
          <w:p w14:paraId="6E344EDA">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67C1EE4A">
            <w:pPr>
              <w:widowControl/>
              <w:jc w:val="left"/>
              <w:rPr>
                <w:rFonts w:ascii="宋体" w:hAnsi="宋体"/>
                <w:kern w:val="0"/>
                <w:sz w:val="18"/>
                <w:szCs w:val="18"/>
              </w:rPr>
            </w:pPr>
            <w:r>
              <w:rPr>
                <w:rFonts w:ascii="宋体" w:hAnsi="宋体"/>
                <w:kern w:val="0"/>
                <w:sz w:val="18"/>
                <w:szCs w:val="18"/>
              </w:rPr>
              <w:t>虚拟化软件兼容</w:t>
            </w:r>
          </w:p>
        </w:tc>
        <w:tc>
          <w:tcPr>
            <w:tcW w:w="8860" w:type="dxa"/>
            <w:tcBorders>
              <w:top w:val="nil"/>
              <w:left w:val="nil"/>
              <w:bottom w:val="single" w:color="auto" w:sz="4" w:space="0"/>
              <w:right w:val="single" w:color="auto" w:sz="4" w:space="0"/>
            </w:tcBorders>
            <w:vAlign w:val="center"/>
          </w:tcPr>
          <w:p w14:paraId="15DF78B5">
            <w:pPr>
              <w:widowControl/>
              <w:jc w:val="left"/>
              <w:rPr>
                <w:rFonts w:ascii="宋体" w:hAnsi="宋体"/>
                <w:kern w:val="0"/>
                <w:sz w:val="18"/>
                <w:szCs w:val="18"/>
              </w:rPr>
            </w:pPr>
            <w:r>
              <w:rPr>
                <w:rFonts w:ascii="宋体" w:hAnsi="宋体"/>
                <w:kern w:val="0"/>
                <w:sz w:val="18"/>
                <w:szCs w:val="18"/>
              </w:rPr>
              <w:t>兼容2款及以上虚拟化软件</w:t>
            </w:r>
          </w:p>
        </w:tc>
      </w:tr>
      <w:tr w14:paraId="7228CF20">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141D0EE4">
            <w:pPr>
              <w:widowControl/>
              <w:jc w:val="center"/>
              <w:rPr>
                <w:rFonts w:ascii="宋体" w:hAnsi="宋体"/>
                <w:kern w:val="0"/>
                <w:sz w:val="18"/>
                <w:szCs w:val="18"/>
              </w:rPr>
            </w:pPr>
            <w:r>
              <w:rPr>
                <w:rFonts w:ascii="宋体" w:hAnsi="宋体"/>
                <w:kern w:val="0"/>
                <w:sz w:val="18"/>
                <w:szCs w:val="18"/>
              </w:rPr>
              <w:t>124</w:t>
            </w:r>
          </w:p>
        </w:tc>
        <w:tc>
          <w:tcPr>
            <w:tcW w:w="1220" w:type="dxa"/>
            <w:tcBorders>
              <w:top w:val="nil"/>
              <w:left w:val="nil"/>
              <w:bottom w:val="single" w:color="auto" w:sz="4" w:space="0"/>
              <w:right w:val="single" w:color="auto" w:sz="4" w:space="0"/>
            </w:tcBorders>
            <w:vAlign w:val="center"/>
          </w:tcPr>
          <w:p w14:paraId="39D0F5E1">
            <w:pPr>
              <w:widowControl/>
              <w:jc w:val="left"/>
              <w:rPr>
                <w:rFonts w:ascii="宋体" w:hAnsi="宋体"/>
                <w:kern w:val="0"/>
                <w:sz w:val="18"/>
                <w:szCs w:val="18"/>
              </w:rPr>
            </w:pPr>
            <w:r>
              <w:rPr>
                <w:rFonts w:ascii="宋体" w:hAnsi="宋体"/>
                <w:kern w:val="0"/>
                <w:sz w:val="18"/>
                <w:szCs w:val="18"/>
              </w:rPr>
              <w:t>可靠性要求</w:t>
            </w:r>
          </w:p>
        </w:tc>
        <w:tc>
          <w:tcPr>
            <w:tcW w:w="820" w:type="dxa"/>
            <w:tcBorders>
              <w:top w:val="nil"/>
              <w:left w:val="nil"/>
              <w:bottom w:val="single" w:color="auto" w:sz="4" w:space="0"/>
              <w:right w:val="single" w:color="auto" w:sz="4" w:space="0"/>
            </w:tcBorders>
            <w:vAlign w:val="center"/>
          </w:tcPr>
          <w:p w14:paraId="2075834B">
            <w:pPr>
              <w:widowControl/>
              <w:jc w:val="center"/>
              <w:rPr>
                <w:rFonts w:ascii="宋体" w:hAnsi="宋体"/>
                <w:kern w:val="0"/>
                <w:sz w:val="18"/>
                <w:szCs w:val="18"/>
              </w:rPr>
            </w:pPr>
            <w:r>
              <w:rPr>
                <w:rFonts w:ascii="宋体" w:hAnsi="宋体"/>
                <w:kern w:val="0"/>
                <w:sz w:val="18"/>
                <w:szCs w:val="18"/>
              </w:rPr>
              <w:t>存储可靠性要求</w:t>
            </w:r>
          </w:p>
        </w:tc>
        <w:tc>
          <w:tcPr>
            <w:tcW w:w="1320" w:type="dxa"/>
            <w:tcBorders>
              <w:top w:val="nil"/>
              <w:left w:val="nil"/>
              <w:bottom w:val="single" w:color="auto" w:sz="4" w:space="0"/>
              <w:right w:val="single" w:color="auto" w:sz="4" w:space="0"/>
            </w:tcBorders>
            <w:vAlign w:val="center"/>
          </w:tcPr>
          <w:p w14:paraId="573AA3D2">
            <w:pPr>
              <w:widowControl/>
              <w:jc w:val="left"/>
              <w:rPr>
                <w:rFonts w:ascii="宋体" w:hAnsi="宋体"/>
                <w:kern w:val="0"/>
                <w:sz w:val="18"/>
                <w:szCs w:val="18"/>
              </w:rPr>
            </w:pPr>
            <w:r>
              <w:rPr>
                <w:rFonts w:ascii="宋体" w:hAnsi="宋体"/>
                <w:kern w:val="0"/>
                <w:sz w:val="18"/>
                <w:szCs w:val="18"/>
              </w:rPr>
              <w:t>SATASSD可靠性</w:t>
            </w:r>
          </w:p>
        </w:tc>
        <w:tc>
          <w:tcPr>
            <w:tcW w:w="8860" w:type="dxa"/>
            <w:tcBorders>
              <w:top w:val="nil"/>
              <w:left w:val="nil"/>
              <w:bottom w:val="single" w:color="auto" w:sz="4" w:space="0"/>
              <w:right w:val="single" w:color="auto" w:sz="4" w:space="0"/>
            </w:tcBorders>
            <w:vAlign w:val="center"/>
          </w:tcPr>
          <w:p w14:paraId="7FAB8561">
            <w:pPr>
              <w:widowControl/>
              <w:jc w:val="left"/>
              <w:rPr>
                <w:rFonts w:ascii="宋体" w:hAnsi="宋体"/>
                <w:kern w:val="0"/>
                <w:sz w:val="18"/>
                <w:szCs w:val="18"/>
              </w:rPr>
            </w:pPr>
            <w:r>
              <w:rPr>
                <w:rFonts w:ascii="宋体" w:hAnsi="宋体"/>
                <w:kern w:val="0"/>
                <w:sz w:val="18"/>
                <w:szCs w:val="18"/>
              </w:rPr>
              <w:t>SSD的m1值（MTBF的不可接受值）不低于200000h</w:t>
            </w:r>
          </w:p>
        </w:tc>
      </w:tr>
      <w:tr w14:paraId="7964AD53">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229EE641">
            <w:pPr>
              <w:widowControl/>
              <w:jc w:val="center"/>
              <w:rPr>
                <w:rFonts w:ascii="宋体" w:hAnsi="宋体"/>
                <w:kern w:val="0"/>
                <w:sz w:val="18"/>
                <w:szCs w:val="18"/>
              </w:rPr>
            </w:pPr>
            <w:r>
              <w:rPr>
                <w:rFonts w:ascii="宋体" w:hAnsi="宋体"/>
                <w:kern w:val="0"/>
                <w:sz w:val="18"/>
                <w:szCs w:val="18"/>
              </w:rPr>
              <w:t>125</w:t>
            </w:r>
          </w:p>
        </w:tc>
        <w:tc>
          <w:tcPr>
            <w:tcW w:w="1220" w:type="dxa"/>
            <w:tcBorders>
              <w:top w:val="nil"/>
              <w:left w:val="nil"/>
              <w:bottom w:val="single" w:color="auto" w:sz="4" w:space="0"/>
              <w:right w:val="single" w:color="auto" w:sz="4" w:space="0"/>
            </w:tcBorders>
            <w:vAlign w:val="center"/>
          </w:tcPr>
          <w:p w14:paraId="44F4072E">
            <w:pPr>
              <w:widowControl/>
              <w:jc w:val="left"/>
              <w:rPr>
                <w:rFonts w:ascii="宋体" w:hAnsi="宋体"/>
                <w:kern w:val="0"/>
                <w:sz w:val="18"/>
                <w:szCs w:val="18"/>
              </w:rPr>
            </w:pPr>
            <w:r>
              <w:rPr>
                <w:rFonts w:ascii="宋体" w:hAnsi="宋体"/>
                <w:kern w:val="0"/>
                <w:sz w:val="18"/>
                <w:szCs w:val="18"/>
              </w:rPr>
              <w:t>可靠性要求</w:t>
            </w:r>
          </w:p>
        </w:tc>
        <w:tc>
          <w:tcPr>
            <w:tcW w:w="820" w:type="dxa"/>
            <w:vMerge w:val="restart"/>
            <w:tcBorders>
              <w:top w:val="nil"/>
              <w:left w:val="single" w:color="auto" w:sz="4" w:space="0"/>
              <w:bottom w:val="single" w:color="auto" w:sz="4" w:space="0"/>
              <w:right w:val="single" w:color="auto" w:sz="4" w:space="0"/>
            </w:tcBorders>
            <w:vAlign w:val="center"/>
          </w:tcPr>
          <w:p w14:paraId="60C4590F">
            <w:pPr>
              <w:widowControl/>
              <w:jc w:val="center"/>
              <w:rPr>
                <w:rFonts w:ascii="宋体" w:hAnsi="宋体"/>
                <w:kern w:val="0"/>
                <w:sz w:val="18"/>
                <w:szCs w:val="18"/>
              </w:rPr>
            </w:pPr>
            <w:r>
              <w:rPr>
                <w:rFonts w:ascii="宋体" w:hAnsi="宋体"/>
                <w:kern w:val="0"/>
                <w:sz w:val="18"/>
                <w:szCs w:val="18"/>
              </w:rPr>
              <w:t>整机可靠性要求</w:t>
            </w:r>
          </w:p>
        </w:tc>
        <w:tc>
          <w:tcPr>
            <w:tcW w:w="1320" w:type="dxa"/>
            <w:tcBorders>
              <w:top w:val="nil"/>
              <w:left w:val="nil"/>
              <w:bottom w:val="single" w:color="auto" w:sz="4" w:space="0"/>
              <w:right w:val="single" w:color="auto" w:sz="4" w:space="0"/>
            </w:tcBorders>
            <w:vAlign w:val="center"/>
          </w:tcPr>
          <w:p w14:paraId="67997D1F">
            <w:pPr>
              <w:widowControl/>
              <w:jc w:val="left"/>
              <w:rPr>
                <w:rFonts w:ascii="宋体" w:hAnsi="宋体"/>
                <w:kern w:val="0"/>
                <w:sz w:val="18"/>
                <w:szCs w:val="18"/>
              </w:rPr>
            </w:pPr>
            <w:r>
              <w:rPr>
                <w:rFonts w:ascii="宋体" w:hAnsi="宋体"/>
                <w:kern w:val="0"/>
                <w:sz w:val="18"/>
                <w:szCs w:val="18"/>
              </w:rPr>
              <w:t>★整机可靠性</w:t>
            </w:r>
          </w:p>
        </w:tc>
        <w:tc>
          <w:tcPr>
            <w:tcW w:w="8860" w:type="dxa"/>
            <w:tcBorders>
              <w:top w:val="nil"/>
              <w:left w:val="nil"/>
              <w:bottom w:val="single" w:color="auto" w:sz="4" w:space="0"/>
              <w:right w:val="single" w:color="auto" w:sz="4" w:space="0"/>
            </w:tcBorders>
            <w:vAlign w:val="center"/>
          </w:tcPr>
          <w:p w14:paraId="066204F4">
            <w:pPr>
              <w:widowControl/>
              <w:jc w:val="left"/>
              <w:rPr>
                <w:rFonts w:ascii="宋体" w:hAnsi="宋体"/>
                <w:kern w:val="0"/>
                <w:sz w:val="18"/>
                <w:szCs w:val="18"/>
              </w:rPr>
            </w:pPr>
            <w:r>
              <w:rPr>
                <w:rFonts w:ascii="宋体" w:hAnsi="宋体"/>
                <w:kern w:val="0"/>
                <w:sz w:val="18"/>
                <w:szCs w:val="18"/>
              </w:rPr>
              <w:t>m1值（MTBF的不可接受值）不得低于30000h</w:t>
            </w:r>
          </w:p>
        </w:tc>
      </w:tr>
      <w:tr w14:paraId="19F9CF75">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265A3B32">
            <w:pPr>
              <w:widowControl/>
              <w:jc w:val="center"/>
              <w:rPr>
                <w:rFonts w:ascii="宋体" w:hAnsi="宋体"/>
                <w:kern w:val="0"/>
                <w:sz w:val="18"/>
                <w:szCs w:val="18"/>
              </w:rPr>
            </w:pPr>
            <w:r>
              <w:rPr>
                <w:rFonts w:ascii="宋体" w:hAnsi="宋体"/>
                <w:kern w:val="0"/>
                <w:sz w:val="18"/>
                <w:szCs w:val="18"/>
              </w:rPr>
              <w:t>126</w:t>
            </w:r>
          </w:p>
        </w:tc>
        <w:tc>
          <w:tcPr>
            <w:tcW w:w="1220" w:type="dxa"/>
            <w:tcBorders>
              <w:top w:val="nil"/>
              <w:left w:val="nil"/>
              <w:bottom w:val="single" w:color="auto" w:sz="4" w:space="0"/>
              <w:right w:val="single" w:color="auto" w:sz="4" w:space="0"/>
            </w:tcBorders>
            <w:vAlign w:val="center"/>
          </w:tcPr>
          <w:p w14:paraId="6E9DB252">
            <w:pPr>
              <w:widowControl/>
              <w:jc w:val="left"/>
              <w:rPr>
                <w:rFonts w:ascii="宋体" w:hAnsi="宋体"/>
                <w:kern w:val="0"/>
                <w:sz w:val="18"/>
                <w:szCs w:val="18"/>
              </w:rPr>
            </w:pPr>
            <w:r>
              <w:rPr>
                <w:rFonts w:ascii="宋体" w:hAnsi="宋体"/>
                <w:kern w:val="0"/>
                <w:sz w:val="18"/>
                <w:szCs w:val="18"/>
              </w:rPr>
              <w:t>可靠性要求</w:t>
            </w:r>
          </w:p>
        </w:tc>
        <w:tc>
          <w:tcPr>
            <w:tcW w:w="820" w:type="dxa"/>
            <w:vMerge w:val="continue"/>
            <w:tcBorders>
              <w:top w:val="nil"/>
              <w:left w:val="single" w:color="auto" w:sz="4" w:space="0"/>
              <w:bottom w:val="single" w:color="auto" w:sz="4" w:space="0"/>
              <w:right w:val="single" w:color="auto" w:sz="4" w:space="0"/>
            </w:tcBorders>
            <w:vAlign w:val="center"/>
          </w:tcPr>
          <w:p w14:paraId="32CEE6BB">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46765FFC">
            <w:pPr>
              <w:widowControl/>
              <w:jc w:val="left"/>
              <w:rPr>
                <w:rFonts w:ascii="宋体" w:hAnsi="宋体"/>
                <w:kern w:val="0"/>
                <w:sz w:val="18"/>
                <w:szCs w:val="18"/>
              </w:rPr>
            </w:pPr>
            <w:r>
              <w:rPr>
                <w:rFonts w:ascii="宋体" w:hAnsi="宋体"/>
                <w:kern w:val="0"/>
                <w:sz w:val="18"/>
                <w:szCs w:val="18"/>
              </w:rPr>
              <w:t>★风扇可靠性</w:t>
            </w:r>
          </w:p>
        </w:tc>
        <w:tc>
          <w:tcPr>
            <w:tcW w:w="8860" w:type="dxa"/>
            <w:tcBorders>
              <w:top w:val="nil"/>
              <w:left w:val="nil"/>
              <w:bottom w:val="single" w:color="auto" w:sz="4" w:space="0"/>
              <w:right w:val="single" w:color="auto" w:sz="4" w:space="0"/>
            </w:tcBorders>
            <w:vAlign w:val="center"/>
          </w:tcPr>
          <w:p w14:paraId="464D2E66">
            <w:pPr>
              <w:widowControl/>
              <w:jc w:val="left"/>
              <w:rPr>
                <w:rFonts w:ascii="宋体" w:hAnsi="宋体"/>
                <w:kern w:val="0"/>
                <w:sz w:val="18"/>
                <w:szCs w:val="18"/>
              </w:rPr>
            </w:pPr>
            <w:r>
              <w:rPr>
                <w:rFonts w:ascii="宋体" w:hAnsi="宋体"/>
                <w:kern w:val="0"/>
                <w:sz w:val="18"/>
                <w:szCs w:val="18"/>
              </w:rPr>
              <w:t>风扇寿命应不低于40000h</w:t>
            </w:r>
          </w:p>
        </w:tc>
      </w:tr>
      <w:tr w14:paraId="4C35B326">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1F986B29">
            <w:pPr>
              <w:widowControl/>
              <w:jc w:val="center"/>
              <w:rPr>
                <w:rFonts w:ascii="宋体" w:hAnsi="宋体"/>
                <w:kern w:val="0"/>
                <w:sz w:val="18"/>
                <w:szCs w:val="18"/>
              </w:rPr>
            </w:pPr>
            <w:r>
              <w:rPr>
                <w:rFonts w:ascii="宋体" w:hAnsi="宋体"/>
                <w:kern w:val="0"/>
                <w:sz w:val="18"/>
                <w:szCs w:val="18"/>
              </w:rPr>
              <w:t>127</w:t>
            </w:r>
          </w:p>
        </w:tc>
        <w:tc>
          <w:tcPr>
            <w:tcW w:w="1220" w:type="dxa"/>
            <w:tcBorders>
              <w:top w:val="nil"/>
              <w:left w:val="nil"/>
              <w:bottom w:val="single" w:color="auto" w:sz="4" w:space="0"/>
              <w:right w:val="single" w:color="auto" w:sz="4" w:space="0"/>
            </w:tcBorders>
            <w:vAlign w:val="center"/>
          </w:tcPr>
          <w:p w14:paraId="3553CB74">
            <w:pPr>
              <w:widowControl/>
              <w:jc w:val="left"/>
              <w:rPr>
                <w:rFonts w:ascii="宋体" w:hAnsi="宋体"/>
                <w:kern w:val="0"/>
                <w:sz w:val="18"/>
                <w:szCs w:val="18"/>
              </w:rPr>
            </w:pPr>
            <w:r>
              <w:rPr>
                <w:rFonts w:ascii="宋体" w:hAnsi="宋体"/>
                <w:kern w:val="0"/>
                <w:sz w:val="18"/>
                <w:szCs w:val="18"/>
              </w:rPr>
              <w:t>可靠性要求</w:t>
            </w:r>
          </w:p>
        </w:tc>
        <w:tc>
          <w:tcPr>
            <w:tcW w:w="820" w:type="dxa"/>
            <w:vMerge w:val="continue"/>
            <w:tcBorders>
              <w:top w:val="nil"/>
              <w:left w:val="single" w:color="auto" w:sz="4" w:space="0"/>
              <w:bottom w:val="single" w:color="auto" w:sz="4" w:space="0"/>
              <w:right w:val="single" w:color="auto" w:sz="4" w:space="0"/>
            </w:tcBorders>
            <w:vAlign w:val="center"/>
          </w:tcPr>
          <w:p w14:paraId="6AB0E686">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1F88842A">
            <w:pPr>
              <w:widowControl/>
              <w:jc w:val="left"/>
              <w:rPr>
                <w:rFonts w:ascii="宋体" w:hAnsi="宋体"/>
                <w:kern w:val="0"/>
                <w:sz w:val="18"/>
                <w:szCs w:val="18"/>
              </w:rPr>
            </w:pPr>
            <w:r>
              <w:rPr>
                <w:rFonts w:ascii="宋体" w:hAnsi="宋体"/>
                <w:kern w:val="0"/>
                <w:sz w:val="18"/>
                <w:szCs w:val="18"/>
              </w:rPr>
              <w:t>★部件可靠性</w:t>
            </w:r>
          </w:p>
        </w:tc>
        <w:tc>
          <w:tcPr>
            <w:tcW w:w="8860" w:type="dxa"/>
            <w:tcBorders>
              <w:top w:val="nil"/>
              <w:left w:val="nil"/>
              <w:bottom w:val="single" w:color="auto" w:sz="4" w:space="0"/>
              <w:right w:val="single" w:color="auto" w:sz="4" w:space="0"/>
            </w:tcBorders>
            <w:vAlign w:val="center"/>
          </w:tcPr>
          <w:p w14:paraId="5342FECC">
            <w:pPr>
              <w:widowControl/>
              <w:jc w:val="left"/>
              <w:rPr>
                <w:rFonts w:ascii="宋体" w:hAnsi="宋体"/>
                <w:kern w:val="0"/>
                <w:sz w:val="18"/>
                <w:szCs w:val="18"/>
              </w:rPr>
            </w:pPr>
            <w:r>
              <w:rPr>
                <w:rFonts w:ascii="宋体" w:hAnsi="宋体"/>
                <w:kern w:val="0"/>
                <w:sz w:val="18"/>
                <w:szCs w:val="18"/>
              </w:rPr>
              <w:t>支持硬盘、电源、风扇热插拔(内置风扇除外)</w:t>
            </w:r>
          </w:p>
        </w:tc>
      </w:tr>
      <w:tr w14:paraId="0631DB74">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432686E1">
            <w:pPr>
              <w:widowControl/>
              <w:jc w:val="center"/>
              <w:rPr>
                <w:rFonts w:ascii="宋体" w:hAnsi="宋体"/>
                <w:kern w:val="0"/>
                <w:sz w:val="18"/>
                <w:szCs w:val="18"/>
              </w:rPr>
            </w:pPr>
            <w:r>
              <w:rPr>
                <w:rFonts w:ascii="宋体" w:hAnsi="宋体"/>
                <w:kern w:val="0"/>
                <w:sz w:val="18"/>
                <w:szCs w:val="18"/>
              </w:rPr>
              <w:t>128</w:t>
            </w:r>
          </w:p>
        </w:tc>
        <w:tc>
          <w:tcPr>
            <w:tcW w:w="1220" w:type="dxa"/>
            <w:tcBorders>
              <w:top w:val="nil"/>
              <w:left w:val="nil"/>
              <w:bottom w:val="single" w:color="auto" w:sz="4" w:space="0"/>
              <w:right w:val="single" w:color="auto" w:sz="4" w:space="0"/>
            </w:tcBorders>
            <w:vAlign w:val="center"/>
          </w:tcPr>
          <w:p w14:paraId="381149EB">
            <w:pPr>
              <w:widowControl/>
              <w:jc w:val="left"/>
              <w:rPr>
                <w:rFonts w:ascii="宋体" w:hAnsi="宋体"/>
                <w:kern w:val="0"/>
                <w:sz w:val="18"/>
                <w:szCs w:val="18"/>
              </w:rPr>
            </w:pPr>
            <w:r>
              <w:rPr>
                <w:rFonts w:ascii="宋体" w:hAnsi="宋体"/>
                <w:kern w:val="0"/>
                <w:sz w:val="18"/>
                <w:szCs w:val="18"/>
              </w:rPr>
              <w:t>包装及运输要求</w:t>
            </w:r>
          </w:p>
        </w:tc>
        <w:tc>
          <w:tcPr>
            <w:tcW w:w="820" w:type="dxa"/>
            <w:tcBorders>
              <w:top w:val="nil"/>
              <w:left w:val="nil"/>
              <w:bottom w:val="single" w:color="auto" w:sz="4" w:space="0"/>
              <w:right w:val="single" w:color="auto" w:sz="4" w:space="0"/>
            </w:tcBorders>
            <w:vAlign w:val="center"/>
          </w:tcPr>
          <w:p w14:paraId="0A4D9098">
            <w:pPr>
              <w:widowControl/>
              <w:jc w:val="center"/>
              <w:rPr>
                <w:rFonts w:ascii="宋体" w:hAnsi="宋体"/>
                <w:kern w:val="0"/>
                <w:sz w:val="18"/>
                <w:szCs w:val="18"/>
              </w:rPr>
            </w:pPr>
            <w:r>
              <w:rPr>
                <w:rFonts w:ascii="宋体" w:hAnsi="宋体"/>
                <w:kern w:val="0"/>
                <w:sz w:val="18"/>
                <w:szCs w:val="18"/>
              </w:rPr>
              <w:t>包装及运输要求</w:t>
            </w:r>
          </w:p>
        </w:tc>
        <w:tc>
          <w:tcPr>
            <w:tcW w:w="1320" w:type="dxa"/>
            <w:tcBorders>
              <w:top w:val="nil"/>
              <w:left w:val="nil"/>
              <w:bottom w:val="single" w:color="auto" w:sz="4" w:space="0"/>
              <w:right w:val="single" w:color="auto" w:sz="4" w:space="0"/>
            </w:tcBorders>
            <w:vAlign w:val="center"/>
          </w:tcPr>
          <w:p w14:paraId="5CB0D0FD">
            <w:pPr>
              <w:widowControl/>
              <w:jc w:val="left"/>
              <w:rPr>
                <w:rFonts w:ascii="宋体" w:hAnsi="宋体"/>
                <w:kern w:val="0"/>
                <w:sz w:val="18"/>
                <w:szCs w:val="18"/>
              </w:rPr>
            </w:pPr>
            <w:r>
              <w:rPr>
                <w:rFonts w:ascii="宋体" w:hAnsi="宋体"/>
                <w:kern w:val="0"/>
                <w:sz w:val="18"/>
                <w:szCs w:val="18"/>
              </w:rPr>
              <w:t>★标志、包装、运输和贮存</w:t>
            </w:r>
          </w:p>
        </w:tc>
        <w:tc>
          <w:tcPr>
            <w:tcW w:w="8860" w:type="dxa"/>
            <w:tcBorders>
              <w:top w:val="nil"/>
              <w:left w:val="nil"/>
              <w:bottom w:val="single" w:color="auto" w:sz="4" w:space="0"/>
              <w:right w:val="single" w:color="auto" w:sz="4" w:space="0"/>
            </w:tcBorders>
            <w:vAlign w:val="center"/>
          </w:tcPr>
          <w:p w14:paraId="064E557A">
            <w:pPr>
              <w:widowControl/>
              <w:jc w:val="left"/>
              <w:rPr>
                <w:rFonts w:ascii="宋体" w:hAnsi="宋体"/>
                <w:kern w:val="0"/>
                <w:sz w:val="18"/>
                <w:szCs w:val="18"/>
              </w:rPr>
            </w:pPr>
            <w:r>
              <w:rPr>
                <w:rFonts w:ascii="宋体" w:hAnsi="宋体"/>
                <w:kern w:val="0"/>
                <w:sz w:val="18"/>
                <w:szCs w:val="18"/>
              </w:rPr>
              <w:t>符合GB/T9813.3和商品包装政府采购需求标准的相关规定</w:t>
            </w:r>
          </w:p>
        </w:tc>
      </w:tr>
      <w:tr w14:paraId="452AA92B">
        <w:tblPrEx>
          <w:tblCellMar>
            <w:top w:w="0" w:type="dxa"/>
            <w:left w:w="108" w:type="dxa"/>
            <w:bottom w:w="0" w:type="dxa"/>
            <w:right w:w="108" w:type="dxa"/>
          </w:tblCellMar>
        </w:tblPrEx>
        <w:trPr>
          <w:trHeight w:val="695" w:hRule="atLeast"/>
        </w:trPr>
        <w:tc>
          <w:tcPr>
            <w:tcW w:w="480" w:type="dxa"/>
            <w:tcBorders>
              <w:top w:val="nil"/>
              <w:left w:val="single" w:color="auto" w:sz="4" w:space="0"/>
              <w:bottom w:val="single" w:color="auto" w:sz="4" w:space="0"/>
              <w:right w:val="single" w:color="auto" w:sz="4" w:space="0"/>
            </w:tcBorders>
            <w:vAlign w:val="center"/>
          </w:tcPr>
          <w:p w14:paraId="41BC921C">
            <w:pPr>
              <w:widowControl/>
              <w:jc w:val="center"/>
              <w:rPr>
                <w:rFonts w:ascii="宋体" w:hAnsi="宋体"/>
                <w:kern w:val="0"/>
                <w:sz w:val="18"/>
                <w:szCs w:val="18"/>
              </w:rPr>
            </w:pPr>
            <w:r>
              <w:rPr>
                <w:rFonts w:ascii="宋体" w:hAnsi="宋体"/>
                <w:kern w:val="0"/>
                <w:sz w:val="18"/>
                <w:szCs w:val="18"/>
              </w:rPr>
              <w:t>129</w:t>
            </w:r>
          </w:p>
        </w:tc>
        <w:tc>
          <w:tcPr>
            <w:tcW w:w="1220" w:type="dxa"/>
            <w:tcBorders>
              <w:top w:val="nil"/>
              <w:left w:val="nil"/>
              <w:bottom w:val="single" w:color="auto" w:sz="4" w:space="0"/>
              <w:right w:val="single" w:color="auto" w:sz="4" w:space="0"/>
            </w:tcBorders>
            <w:vAlign w:val="center"/>
          </w:tcPr>
          <w:p w14:paraId="7A3E1303">
            <w:pPr>
              <w:widowControl/>
              <w:jc w:val="left"/>
              <w:rPr>
                <w:rFonts w:ascii="宋体" w:hAnsi="宋体"/>
                <w:kern w:val="0"/>
                <w:sz w:val="18"/>
                <w:szCs w:val="18"/>
              </w:rPr>
            </w:pPr>
            <w:r>
              <w:rPr>
                <w:rFonts w:ascii="宋体" w:hAnsi="宋体"/>
                <w:kern w:val="0"/>
                <w:sz w:val="18"/>
                <w:szCs w:val="18"/>
              </w:rPr>
              <w:t>服务要求</w:t>
            </w:r>
          </w:p>
        </w:tc>
        <w:tc>
          <w:tcPr>
            <w:tcW w:w="820" w:type="dxa"/>
            <w:vMerge w:val="restart"/>
            <w:tcBorders>
              <w:top w:val="nil"/>
              <w:left w:val="single" w:color="auto" w:sz="4" w:space="0"/>
              <w:bottom w:val="single" w:color="auto" w:sz="4" w:space="0"/>
              <w:right w:val="single" w:color="auto" w:sz="4" w:space="0"/>
            </w:tcBorders>
            <w:vAlign w:val="center"/>
          </w:tcPr>
          <w:p w14:paraId="3A6C47EF">
            <w:pPr>
              <w:widowControl/>
              <w:jc w:val="center"/>
              <w:rPr>
                <w:rFonts w:ascii="宋体" w:hAnsi="宋体"/>
                <w:kern w:val="0"/>
                <w:sz w:val="18"/>
                <w:szCs w:val="18"/>
              </w:rPr>
            </w:pPr>
            <w:r>
              <w:rPr>
                <w:rFonts w:ascii="宋体" w:hAnsi="宋体"/>
                <w:kern w:val="0"/>
                <w:sz w:val="18"/>
                <w:szCs w:val="18"/>
              </w:rPr>
              <w:t>服务响应</w:t>
            </w:r>
          </w:p>
        </w:tc>
        <w:tc>
          <w:tcPr>
            <w:tcW w:w="1320" w:type="dxa"/>
            <w:tcBorders>
              <w:top w:val="nil"/>
              <w:left w:val="nil"/>
              <w:bottom w:val="single" w:color="auto" w:sz="4" w:space="0"/>
              <w:right w:val="single" w:color="auto" w:sz="4" w:space="0"/>
            </w:tcBorders>
            <w:vAlign w:val="center"/>
          </w:tcPr>
          <w:p w14:paraId="671080C0">
            <w:pPr>
              <w:widowControl/>
              <w:jc w:val="left"/>
              <w:rPr>
                <w:rFonts w:ascii="宋体" w:hAnsi="宋体"/>
                <w:kern w:val="0"/>
                <w:sz w:val="18"/>
                <w:szCs w:val="18"/>
              </w:rPr>
            </w:pPr>
            <w:r>
              <w:rPr>
                <w:rFonts w:ascii="宋体" w:hAnsi="宋体"/>
                <w:kern w:val="0"/>
                <w:sz w:val="18"/>
                <w:szCs w:val="18"/>
              </w:rPr>
              <w:t>★服务响应</w:t>
            </w:r>
          </w:p>
        </w:tc>
        <w:tc>
          <w:tcPr>
            <w:tcW w:w="8860" w:type="dxa"/>
            <w:tcBorders>
              <w:top w:val="nil"/>
              <w:left w:val="nil"/>
              <w:bottom w:val="single" w:color="auto" w:sz="4" w:space="0"/>
              <w:right w:val="single" w:color="auto" w:sz="4" w:space="0"/>
            </w:tcBorders>
            <w:vAlign w:val="center"/>
          </w:tcPr>
          <w:p w14:paraId="7F283949">
            <w:pPr>
              <w:widowControl/>
              <w:jc w:val="left"/>
              <w:rPr>
                <w:rFonts w:ascii="宋体" w:hAnsi="宋体"/>
                <w:kern w:val="0"/>
                <w:sz w:val="18"/>
                <w:szCs w:val="18"/>
              </w:rPr>
            </w:pPr>
            <w:r>
              <w:rPr>
                <w:rFonts w:ascii="宋体" w:hAnsi="宋体"/>
                <w:kern w:val="0"/>
                <w:sz w:val="18"/>
                <w:szCs w:val="18"/>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r>
      <w:tr w14:paraId="7EE15152">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10A8B602">
            <w:pPr>
              <w:widowControl/>
              <w:jc w:val="center"/>
              <w:rPr>
                <w:rFonts w:ascii="宋体" w:hAnsi="宋体"/>
                <w:kern w:val="0"/>
                <w:sz w:val="18"/>
                <w:szCs w:val="18"/>
              </w:rPr>
            </w:pPr>
            <w:r>
              <w:rPr>
                <w:rFonts w:ascii="宋体" w:hAnsi="宋体"/>
                <w:kern w:val="0"/>
                <w:sz w:val="18"/>
                <w:szCs w:val="18"/>
              </w:rPr>
              <w:t>130</w:t>
            </w:r>
          </w:p>
        </w:tc>
        <w:tc>
          <w:tcPr>
            <w:tcW w:w="1220" w:type="dxa"/>
            <w:tcBorders>
              <w:top w:val="nil"/>
              <w:left w:val="nil"/>
              <w:bottom w:val="single" w:color="auto" w:sz="4" w:space="0"/>
              <w:right w:val="single" w:color="auto" w:sz="4" w:space="0"/>
            </w:tcBorders>
            <w:vAlign w:val="center"/>
          </w:tcPr>
          <w:p w14:paraId="335B26F8">
            <w:pPr>
              <w:widowControl/>
              <w:jc w:val="left"/>
              <w:rPr>
                <w:rFonts w:ascii="宋体" w:hAnsi="宋体"/>
                <w:kern w:val="0"/>
                <w:sz w:val="18"/>
                <w:szCs w:val="18"/>
              </w:rPr>
            </w:pPr>
            <w:r>
              <w:rPr>
                <w:rFonts w:ascii="宋体" w:hAnsi="宋体"/>
                <w:kern w:val="0"/>
                <w:sz w:val="18"/>
                <w:szCs w:val="18"/>
              </w:rPr>
              <w:t>服务要求</w:t>
            </w:r>
          </w:p>
        </w:tc>
        <w:tc>
          <w:tcPr>
            <w:tcW w:w="820" w:type="dxa"/>
            <w:vMerge w:val="continue"/>
            <w:tcBorders>
              <w:top w:val="nil"/>
              <w:left w:val="single" w:color="auto" w:sz="4" w:space="0"/>
              <w:bottom w:val="single" w:color="auto" w:sz="4" w:space="0"/>
              <w:right w:val="single" w:color="auto" w:sz="4" w:space="0"/>
            </w:tcBorders>
            <w:vAlign w:val="center"/>
          </w:tcPr>
          <w:p w14:paraId="4AF2D36E">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60A60CE8">
            <w:pPr>
              <w:widowControl/>
              <w:jc w:val="left"/>
              <w:rPr>
                <w:rFonts w:ascii="宋体" w:hAnsi="宋体"/>
                <w:kern w:val="0"/>
                <w:sz w:val="18"/>
                <w:szCs w:val="18"/>
              </w:rPr>
            </w:pPr>
            <w:r>
              <w:rPr>
                <w:rFonts w:ascii="宋体" w:hAnsi="宋体"/>
                <w:kern w:val="0"/>
                <w:sz w:val="18"/>
                <w:szCs w:val="18"/>
              </w:rPr>
              <w:t>★培训服务</w:t>
            </w:r>
          </w:p>
        </w:tc>
        <w:tc>
          <w:tcPr>
            <w:tcW w:w="8860" w:type="dxa"/>
            <w:tcBorders>
              <w:top w:val="nil"/>
              <w:left w:val="nil"/>
              <w:bottom w:val="single" w:color="auto" w:sz="4" w:space="0"/>
              <w:right w:val="single" w:color="auto" w:sz="4" w:space="0"/>
            </w:tcBorders>
            <w:vAlign w:val="center"/>
          </w:tcPr>
          <w:p w14:paraId="5D4A1A57">
            <w:pPr>
              <w:widowControl/>
              <w:jc w:val="left"/>
              <w:rPr>
                <w:rFonts w:ascii="宋体" w:hAnsi="宋体"/>
                <w:kern w:val="0"/>
                <w:sz w:val="18"/>
                <w:szCs w:val="18"/>
              </w:rPr>
            </w:pPr>
            <w:r>
              <w:rPr>
                <w:rFonts w:ascii="宋体" w:hAnsi="宋体"/>
                <w:kern w:val="0"/>
                <w:sz w:val="18"/>
                <w:szCs w:val="18"/>
              </w:rPr>
              <w:t>供应商提供培训材料、产品手册、培训视频等培训相关内容</w:t>
            </w:r>
          </w:p>
        </w:tc>
      </w:tr>
      <w:tr w14:paraId="76A96F32">
        <w:tblPrEx>
          <w:tblCellMar>
            <w:top w:w="0" w:type="dxa"/>
            <w:left w:w="108" w:type="dxa"/>
            <w:bottom w:w="0" w:type="dxa"/>
            <w:right w:w="108" w:type="dxa"/>
          </w:tblCellMar>
        </w:tblPrEx>
        <w:trPr>
          <w:trHeight w:val="695" w:hRule="atLeast"/>
        </w:trPr>
        <w:tc>
          <w:tcPr>
            <w:tcW w:w="480" w:type="dxa"/>
            <w:tcBorders>
              <w:top w:val="nil"/>
              <w:left w:val="single" w:color="auto" w:sz="4" w:space="0"/>
              <w:bottom w:val="single" w:color="auto" w:sz="4" w:space="0"/>
              <w:right w:val="single" w:color="auto" w:sz="4" w:space="0"/>
            </w:tcBorders>
            <w:vAlign w:val="center"/>
          </w:tcPr>
          <w:p w14:paraId="24F9AF33">
            <w:pPr>
              <w:widowControl/>
              <w:jc w:val="center"/>
              <w:rPr>
                <w:rFonts w:ascii="宋体" w:hAnsi="宋体"/>
                <w:kern w:val="0"/>
                <w:sz w:val="18"/>
                <w:szCs w:val="18"/>
              </w:rPr>
            </w:pPr>
            <w:r>
              <w:rPr>
                <w:rFonts w:ascii="宋体" w:hAnsi="宋体"/>
                <w:kern w:val="0"/>
                <w:sz w:val="18"/>
                <w:szCs w:val="18"/>
              </w:rPr>
              <w:t>131</w:t>
            </w:r>
          </w:p>
        </w:tc>
        <w:tc>
          <w:tcPr>
            <w:tcW w:w="1220" w:type="dxa"/>
            <w:tcBorders>
              <w:top w:val="nil"/>
              <w:left w:val="nil"/>
              <w:bottom w:val="single" w:color="auto" w:sz="4" w:space="0"/>
              <w:right w:val="single" w:color="auto" w:sz="4" w:space="0"/>
            </w:tcBorders>
            <w:vAlign w:val="center"/>
          </w:tcPr>
          <w:p w14:paraId="19C30D79">
            <w:pPr>
              <w:widowControl/>
              <w:jc w:val="left"/>
              <w:rPr>
                <w:rFonts w:ascii="宋体" w:hAnsi="宋体"/>
                <w:kern w:val="0"/>
                <w:sz w:val="18"/>
                <w:szCs w:val="18"/>
              </w:rPr>
            </w:pPr>
            <w:r>
              <w:rPr>
                <w:rFonts w:ascii="宋体" w:hAnsi="宋体"/>
                <w:kern w:val="0"/>
                <w:sz w:val="18"/>
                <w:szCs w:val="18"/>
              </w:rPr>
              <w:t>服务要求</w:t>
            </w:r>
          </w:p>
        </w:tc>
        <w:tc>
          <w:tcPr>
            <w:tcW w:w="820" w:type="dxa"/>
            <w:tcBorders>
              <w:top w:val="nil"/>
              <w:left w:val="nil"/>
              <w:bottom w:val="single" w:color="auto" w:sz="4" w:space="0"/>
              <w:right w:val="single" w:color="auto" w:sz="4" w:space="0"/>
            </w:tcBorders>
            <w:vAlign w:val="center"/>
          </w:tcPr>
          <w:p w14:paraId="6AE89B8B">
            <w:pPr>
              <w:widowControl/>
              <w:jc w:val="center"/>
              <w:rPr>
                <w:rFonts w:ascii="宋体" w:hAnsi="宋体"/>
                <w:kern w:val="0"/>
                <w:sz w:val="18"/>
                <w:szCs w:val="18"/>
              </w:rPr>
            </w:pPr>
            <w:r>
              <w:rPr>
                <w:rFonts w:ascii="宋体" w:hAnsi="宋体"/>
                <w:kern w:val="0"/>
                <w:sz w:val="18"/>
                <w:szCs w:val="18"/>
              </w:rPr>
              <w:t>服务周期</w:t>
            </w:r>
          </w:p>
        </w:tc>
        <w:tc>
          <w:tcPr>
            <w:tcW w:w="1320" w:type="dxa"/>
            <w:tcBorders>
              <w:top w:val="nil"/>
              <w:left w:val="nil"/>
              <w:bottom w:val="single" w:color="auto" w:sz="4" w:space="0"/>
              <w:right w:val="single" w:color="auto" w:sz="4" w:space="0"/>
            </w:tcBorders>
            <w:vAlign w:val="center"/>
          </w:tcPr>
          <w:p w14:paraId="78A4135C">
            <w:pPr>
              <w:widowControl/>
              <w:jc w:val="left"/>
              <w:rPr>
                <w:rFonts w:ascii="宋体" w:hAnsi="宋体"/>
                <w:kern w:val="0"/>
                <w:sz w:val="18"/>
                <w:szCs w:val="18"/>
              </w:rPr>
            </w:pPr>
            <w:r>
              <w:rPr>
                <w:rFonts w:ascii="宋体" w:hAnsi="宋体"/>
                <w:kern w:val="0"/>
                <w:sz w:val="18"/>
                <w:szCs w:val="18"/>
              </w:rPr>
              <w:t>★服务周期</w:t>
            </w:r>
          </w:p>
        </w:tc>
        <w:tc>
          <w:tcPr>
            <w:tcW w:w="8860" w:type="dxa"/>
            <w:tcBorders>
              <w:top w:val="nil"/>
              <w:left w:val="nil"/>
              <w:bottom w:val="single" w:color="auto" w:sz="4" w:space="0"/>
              <w:right w:val="single" w:color="auto" w:sz="4" w:space="0"/>
            </w:tcBorders>
            <w:vAlign w:val="center"/>
          </w:tcPr>
          <w:p w14:paraId="4987B7F8">
            <w:pPr>
              <w:widowControl/>
              <w:jc w:val="left"/>
              <w:rPr>
                <w:rFonts w:ascii="宋体" w:hAnsi="宋体"/>
                <w:kern w:val="0"/>
                <w:sz w:val="18"/>
                <w:szCs w:val="18"/>
              </w:rPr>
            </w:pPr>
            <w:r>
              <w:rPr>
                <w:rFonts w:ascii="宋体" w:hAnsi="宋体"/>
                <w:kern w:val="0"/>
                <w:sz w:val="18"/>
                <w:szCs w:val="18"/>
              </w:rPr>
              <w:t>a)产品免费服务周期（含换件和维修）应不小于3年；b)设备停产后继续提供质量保障服务（含备品备件），服务终止时间与最后一批设备交付时间间隔不低于6年；c)产品停止服务时间应提前1年告知客户；d)产品发布日期需在随机文件中明确</w:t>
            </w:r>
          </w:p>
        </w:tc>
      </w:tr>
      <w:tr w14:paraId="68A7FD26">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5D1BC3A7">
            <w:pPr>
              <w:widowControl/>
              <w:jc w:val="center"/>
              <w:rPr>
                <w:rFonts w:ascii="宋体" w:hAnsi="宋体"/>
                <w:kern w:val="0"/>
                <w:sz w:val="18"/>
                <w:szCs w:val="18"/>
              </w:rPr>
            </w:pPr>
            <w:r>
              <w:rPr>
                <w:rFonts w:ascii="宋体" w:hAnsi="宋体"/>
                <w:kern w:val="0"/>
                <w:sz w:val="18"/>
                <w:szCs w:val="18"/>
              </w:rPr>
              <w:t>132</w:t>
            </w:r>
          </w:p>
        </w:tc>
        <w:tc>
          <w:tcPr>
            <w:tcW w:w="1220" w:type="dxa"/>
            <w:tcBorders>
              <w:top w:val="nil"/>
              <w:left w:val="nil"/>
              <w:bottom w:val="single" w:color="auto" w:sz="4" w:space="0"/>
              <w:right w:val="single" w:color="auto" w:sz="4" w:space="0"/>
            </w:tcBorders>
            <w:vAlign w:val="center"/>
          </w:tcPr>
          <w:p w14:paraId="0D2DCC7E">
            <w:pPr>
              <w:widowControl/>
              <w:jc w:val="left"/>
              <w:rPr>
                <w:rFonts w:ascii="宋体" w:hAnsi="宋体"/>
                <w:kern w:val="0"/>
                <w:sz w:val="18"/>
                <w:szCs w:val="18"/>
              </w:rPr>
            </w:pPr>
            <w:r>
              <w:rPr>
                <w:rFonts w:ascii="宋体" w:hAnsi="宋体"/>
                <w:kern w:val="0"/>
                <w:sz w:val="18"/>
                <w:szCs w:val="18"/>
              </w:rPr>
              <w:t>服务要求</w:t>
            </w:r>
          </w:p>
        </w:tc>
        <w:tc>
          <w:tcPr>
            <w:tcW w:w="820" w:type="dxa"/>
            <w:vMerge w:val="restart"/>
            <w:tcBorders>
              <w:top w:val="nil"/>
              <w:left w:val="single" w:color="auto" w:sz="4" w:space="0"/>
              <w:bottom w:val="single" w:color="auto" w:sz="4" w:space="0"/>
              <w:right w:val="single" w:color="auto" w:sz="4" w:space="0"/>
            </w:tcBorders>
            <w:vAlign w:val="center"/>
          </w:tcPr>
          <w:p w14:paraId="310AA3B0">
            <w:pPr>
              <w:widowControl/>
              <w:jc w:val="center"/>
              <w:rPr>
                <w:rFonts w:ascii="宋体" w:hAnsi="宋体"/>
                <w:kern w:val="0"/>
                <w:sz w:val="18"/>
                <w:szCs w:val="18"/>
              </w:rPr>
            </w:pPr>
            <w:r>
              <w:rPr>
                <w:rFonts w:ascii="宋体" w:hAnsi="宋体"/>
                <w:kern w:val="0"/>
                <w:sz w:val="18"/>
                <w:szCs w:val="18"/>
              </w:rPr>
              <w:t>服务工具要求</w:t>
            </w:r>
          </w:p>
        </w:tc>
        <w:tc>
          <w:tcPr>
            <w:tcW w:w="1320" w:type="dxa"/>
            <w:tcBorders>
              <w:top w:val="nil"/>
              <w:left w:val="nil"/>
              <w:bottom w:val="single" w:color="auto" w:sz="4" w:space="0"/>
              <w:right w:val="single" w:color="auto" w:sz="4" w:space="0"/>
            </w:tcBorders>
            <w:vAlign w:val="center"/>
          </w:tcPr>
          <w:p w14:paraId="00366D56">
            <w:pPr>
              <w:widowControl/>
              <w:jc w:val="left"/>
              <w:rPr>
                <w:rFonts w:ascii="宋体" w:hAnsi="宋体"/>
                <w:kern w:val="0"/>
                <w:sz w:val="18"/>
                <w:szCs w:val="18"/>
              </w:rPr>
            </w:pPr>
            <w:r>
              <w:rPr>
                <w:rFonts w:ascii="宋体" w:hAnsi="宋体"/>
                <w:kern w:val="0"/>
                <w:sz w:val="18"/>
                <w:szCs w:val="18"/>
              </w:rPr>
              <w:t>★工具要求</w:t>
            </w:r>
          </w:p>
        </w:tc>
        <w:tc>
          <w:tcPr>
            <w:tcW w:w="8860" w:type="dxa"/>
            <w:tcBorders>
              <w:top w:val="nil"/>
              <w:left w:val="nil"/>
              <w:bottom w:val="single" w:color="auto" w:sz="4" w:space="0"/>
              <w:right w:val="single" w:color="auto" w:sz="4" w:space="0"/>
            </w:tcBorders>
            <w:vAlign w:val="center"/>
          </w:tcPr>
          <w:p w14:paraId="430D19EA">
            <w:pPr>
              <w:widowControl/>
              <w:jc w:val="left"/>
              <w:rPr>
                <w:rFonts w:ascii="宋体" w:hAnsi="宋体"/>
                <w:kern w:val="0"/>
                <w:sz w:val="18"/>
                <w:szCs w:val="18"/>
              </w:rPr>
            </w:pPr>
            <w:r>
              <w:rPr>
                <w:rFonts w:ascii="宋体" w:hAnsi="宋体"/>
                <w:kern w:val="0"/>
                <w:sz w:val="18"/>
                <w:szCs w:val="18"/>
              </w:rPr>
              <w:t>供应商提供设置服务器硬件、辅助操作系统安装等功能的辅助工具和管理软件。且随附软件应具有合法授权或版权</w:t>
            </w:r>
          </w:p>
        </w:tc>
      </w:tr>
      <w:tr w14:paraId="39A25CDC">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0FA78C8D">
            <w:pPr>
              <w:widowControl/>
              <w:jc w:val="center"/>
              <w:rPr>
                <w:rFonts w:ascii="宋体" w:hAnsi="宋体"/>
                <w:kern w:val="0"/>
                <w:sz w:val="18"/>
                <w:szCs w:val="18"/>
              </w:rPr>
            </w:pPr>
            <w:r>
              <w:rPr>
                <w:rFonts w:ascii="宋体" w:hAnsi="宋体"/>
                <w:kern w:val="0"/>
                <w:sz w:val="18"/>
                <w:szCs w:val="18"/>
              </w:rPr>
              <w:t>133</w:t>
            </w:r>
          </w:p>
        </w:tc>
        <w:tc>
          <w:tcPr>
            <w:tcW w:w="1220" w:type="dxa"/>
            <w:tcBorders>
              <w:top w:val="nil"/>
              <w:left w:val="nil"/>
              <w:bottom w:val="single" w:color="auto" w:sz="4" w:space="0"/>
              <w:right w:val="single" w:color="auto" w:sz="4" w:space="0"/>
            </w:tcBorders>
            <w:vAlign w:val="center"/>
          </w:tcPr>
          <w:p w14:paraId="29C7A65C">
            <w:pPr>
              <w:widowControl/>
              <w:jc w:val="left"/>
              <w:rPr>
                <w:rFonts w:ascii="宋体" w:hAnsi="宋体"/>
                <w:kern w:val="0"/>
                <w:sz w:val="18"/>
                <w:szCs w:val="18"/>
              </w:rPr>
            </w:pPr>
            <w:r>
              <w:rPr>
                <w:rFonts w:ascii="宋体" w:hAnsi="宋体"/>
                <w:kern w:val="0"/>
                <w:sz w:val="18"/>
                <w:szCs w:val="18"/>
              </w:rPr>
              <w:t>服务要求</w:t>
            </w:r>
          </w:p>
        </w:tc>
        <w:tc>
          <w:tcPr>
            <w:tcW w:w="820" w:type="dxa"/>
            <w:vMerge w:val="continue"/>
            <w:tcBorders>
              <w:top w:val="nil"/>
              <w:left w:val="single" w:color="auto" w:sz="4" w:space="0"/>
              <w:bottom w:val="single" w:color="auto" w:sz="4" w:space="0"/>
              <w:right w:val="single" w:color="auto" w:sz="4" w:space="0"/>
            </w:tcBorders>
            <w:vAlign w:val="center"/>
          </w:tcPr>
          <w:p w14:paraId="6B45E68B">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73AA5B81">
            <w:pPr>
              <w:widowControl/>
              <w:jc w:val="left"/>
              <w:rPr>
                <w:rFonts w:ascii="宋体" w:hAnsi="宋体"/>
                <w:kern w:val="0"/>
                <w:sz w:val="18"/>
                <w:szCs w:val="18"/>
              </w:rPr>
            </w:pPr>
            <w:r>
              <w:rPr>
                <w:rFonts w:ascii="宋体" w:hAnsi="宋体"/>
                <w:kern w:val="0"/>
                <w:sz w:val="18"/>
                <w:szCs w:val="18"/>
              </w:rPr>
              <w:t>辅助工具</w:t>
            </w:r>
          </w:p>
        </w:tc>
        <w:tc>
          <w:tcPr>
            <w:tcW w:w="8860" w:type="dxa"/>
            <w:tcBorders>
              <w:top w:val="nil"/>
              <w:left w:val="nil"/>
              <w:bottom w:val="single" w:color="auto" w:sz="4" w:space="0"/>
              <w:right w:val="single" w:color="auto" w:sz="4" w:space="0"/>
            </w:tcBorders>
            <w:vAlign w:val="center"/>
          </w:tcPr>
          <w:p w14:paraId="69854B30">
            <w:pPr>
              <w:widowControl/>
              <w:jc w:val="left"/>
              <w:rPr>
                <w:rFonts w:ascii="宋体" w:hAnsi="宋体"/>
                <w:kern w:val="0"/>
                <w:sz w:val="18"/>
                <w:szCs w:val="18"/>
              </w:rPr>
            </w:pPr>
            <w:r>
              <w:rPr>
                <w:rFonts w:ascii="宋体" w:hAnsi="宋体"/>
                <w:kern w:val="0"/>
                <w:sz w:val="18"/>
                <w:szCs w:val="18"/>
              </w:rPr>
              <w:t>支持如下功能a)本地的数据备份和还原功能；b)网络的数据备份和还原功能；c)服务器操作系统的自动安装功能；d)服务器所配硬件需要的驱动程序和系统补丁</w:t>
            </w:r>
          </w:p>
        </w:tc>
      </w:tr>
      <w:tr w14:paraId="1005FF6F">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24D13765">
            <w:pPr>
              <w:widowControl/>
              <w:jc w:val="center"/>
              <w:rPr>
                <w:rFonts w:ascii="宋体" w:hAnsi="宋体"/>
                <w:kern w:val="0"/>
                <w:sz w:val="18"/>
                <w:szCs w:val="18"/>
              </w:rPr>
            </w:pPr>
            <w:r>
              <w:rPr>
                <w:rFonts w:ascii="宋体" w:hAnsi="宋体"/>
                <w:kern w:val="0"/>
                <w:sz w:val="18"/>
                <w:szCs w:val="18"/>
              </w:rPr>
              <w:t>134</w:t>
            </w:r>
          </w:p>
        </w:tc>
        <w:tc>
          <w:tcPr>
            <w:tcW w:w="1220" w:type="dxa"/>
            <w:tcBorders>
              <w:top w:val="nil"/>
              <w:left w:val="nil"/>
              <w:bottom w:val="single" w:color="auto" w:sz="4" w:space="0"/>
              <w:right w:val="single" w:color="auto" w:sz="4" w:space="0"/>
            </w:tcBorders>
            <w:vAlign w:val="center"/>
          </w:tcPr>
          <w:p w14:paraId="0946DE82">
            <w:pPr>
              <w:widowControl/>
              <w:jc w:val="left"/>
              <w:rPr>
                <w:rFonts w:ascii="宋体" w:hAnsi="宋体"/>
                <w:kern w:val="0"/>
                <w:sz w:val="18"/>
                <w:szCs w:val="18"/>
              </w:rPr>
            </w:pPr>
            <w:r>
              <w:rPr>
                <w:rFonts w:ascii="宋体" w:hAnsi="宋体"/>
                <w:kern w:val="0"/>
                <w:sz w:val="18"/>
                <w:szCs w:val="18"/>
              </w:rPr>
              <w:t>服务要求</w:t>
            </w:r>
          </w:p>
        </w:tc>
        <w:tc>
          <w:tcPr>
            <w:tcW w:w="820" w:type="dxa"/>
            <w:vMerge w:val="continue"/>
            <w:tcBorders>
              <w:top w:val="nil"/>
              <w:left w:val="single" w:color="auto" w:sz="4" w:space="0"/>
              <w:bottom w:val="single" w:color="auto" w:sz="4" w:space="0"/>
              <w:right w:val="single" w:color="auto" w:sz="4" w:space="0"/>
            </w:tcBorders>
            <w:vAlign w:val="center"/>
          </w:tcPr>
          <w:p w14:paraId="7ED2D945">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79E6272C">
            <w:pPr>
              <w:widowControl/>
              <w:jc w:val="left"/>
              <w:rPr>
                <w:rFonts w:ascii="宋体" w:hAnsi="宋体"/>
                <w:kern w:val="0"/>
                <w:sz w:val="18"/>
                <w:szCs w:val="18"/>
              </w:rPr>
            </w:pPr>
            <w:r>
              <w:rPr>
                <w:rFonts w:ascii="宋体" w:hAnsi="宋体"/>
                <w:kern w:val="0"/>
                <w:sz w:val="18"/>
                <w:szCs w:val="18"/>
              </w:rPr>
              <w:t>★驱动安装升级指引</w:t>
            </w:r>
          </w:p>
        </w:tc>
        <w:tc>
          <w:tcPr>
            <w:tcW w:w="8860" w:type="dxa"/>
            <w:tcBorders>
              <w:top w:val="nil"/>
              <w:left w:val="nil"/>
              <w:bottom w:val="single" w:color="auto" w:sz="4" w:space="0"/>
              <w:right w:val="single" w:color="auto" w:sz="4" w:space="0"/>
            </w:tcBorders>
            <w:vAlign w:val="center"/>
          </w:tcPr>
          <w:p w14:paraId="0D79AD9C">
            <w:pPr>
              <w:widowControl/>
              <w:jc w:val="left"/>
              <w:rPr>
                <w:rFonts w:ascii="宋体" w:hAnsi="宋体"/>
                <w:kern w:val="0"/>
                <w:sz w:val="18"/>
                <w:szCs w:val="18"/>
              </w:rPr>
            </w:pPr>
            <w:r>
              <w:rPr>
                <w:rFonts w:ascii="宋体" w:hAnsi="宋体"/>
                <w:kern w:val="0"/>
                <w:sz w:val="18"/>
                <w:szCs w:val="18"/>
              </w:rPr>
              <w:t>供应商提供出厂安装的配件所需的驱动程序，形式包括但不限于驱动光盘、驱动下载链接等。其他配件应提供指引</w:t>
            </w:r>
          </w:p>
        </w:tc>
      </w:tr>
      <w:tr w14:paraId="599B36A5">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5124FCEC">
            <w:pPr>
              <w:widowControl/>
              <w:jc w:val="center"/>
              <w:rPr>
                <w:rFonts w:ascii="宋体" w:hAnsi="宋体"/>
                <w:kern w:val="0"/>
                <w:sz w:val="18"/>
                <w:szCs w:val="18"/>
              </w:rPr>
            </w:pPr>
            <w:r>
              <w:rPr>
                <w:rFonts w:ascii="宋体" w:hAnsi="宋体"/>
                <w:kern w:val="0"/>
                <w:sz w:val="18"/>
                <w:szCs w:val="18"/>
              </w:rPr>
              <w:t>135</w:t>
            </w:r>
          </w:p>
        </w:tc>
        <w:tc>
          <w:tcPr>
            <w:tcW w:w="1220" w:type="dxa"/>
            <w:tcBorders>
              <w:top w:val="nil"/>
              <w:left w:val="nil"/>
              <w:bottom w:val="single" w:color="auto" w:sz="4" w:space="0"/>
              <w:right w:val="single" w:color="auto" w:sz="4" w:space="0"/>
            </w:tcBorders>
            <w:vAlign w:val="center"/>
          </w:tcPr>
          <w:p w14:paraId="1307BB09">
            <w:pPr>
              <w:widowControl/>
              <w:jc w:val="left"/>
              <w:rPr>
                <w:rFonts w:ascii="宋体" w:hAnsi="宋体"/>
                <w:kern w:val="0"/>
                <w:sz w:val="18"/>
                <w:szCs w:val="18"/>
              </w:rPr>
            </w:pPr>
            <w:r>
              <w:rPr>
                <w:rFonts w:ascii="宋体" w:hAnsi="宋体"/>
                <w:kern w:val="0"/>
                <w:sz w:val="18"/>
                <w:szCs w:val="18"/>
              </w:rPr>
              <w:t>服务要求</w:t>
            </w:r>
          </w:p>
        </w:tc>
        <w:tc>
          <w:tcPr>
            <w:tcW w:w="820" w:type="dxa"/>
            <w:vMerge w:val="continue"/>
            <w:tcBorders>
              <w:top w:val="nil"/>
              <w:left w:val="single" w:color="auto" w:sz="4" w:space="0"/>
              <w:bottom w:val="single" w:color="auto" w:sz="4" w:space="0"/>
              <w:right w:val="single" w:color="auto" w:sz="4" w:space="0"/>
            </w:tcBorders>
            <w:vAlign w:val="center"/>
          </w:tcPr>
          <w:p w14:paraId="2A9EFED2">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30A27AC2">
            <w:pPr>
              <w:widowControl/>
              <w:jc w:val="left"/>
              <w:rPr>
                <w:rFonts w:ascii="宋体" w:hAnsi="宋体"/>
                <w:kern w:val="0"/>
                <w:sz w:val="18"/>
                <w:szCs w:val="18"/>
              </w:rPr>
            </w:pPr>
            <w:r>
              <w:rPr>
                <w:rFonts w:ascii="宋体" w:hAnsi="宋体"/>
                <w:kern w:val="0"/>
                <w:sz w:val="18"/>
                <w:szCs w:val="18"/>
              </w:rPr>
              <w:t>随机附开盖工具</w:t>
            </w:r>
          </w:p>
        </w:tc>
        <w:tc>
          <w:tcPr>
            <w:tcW w:w="8860" w:type="dxa"/>
            <w:tcBorders>
              <w:top w:val="nil"/>
              <w:left w:val="nil"/>
              <w:bottom w:val="single" w:color="auto" w:sz="4" w:space="0"/>
              <w:right w:val="single" w:color="auto" w:sz="4" w:space="0"/>
            </w:tcBorders>
            <w:vAlign w:val="center"/>
          </w:tcPr>
          <w:p w14:paraId="644C2E5B">
            <w:pPr>
              <w:widowControl/>
              <w:jc w:val="left"/>
              <w:rPr>
                <w:rFonts w:ascii="宋体" w:hAnsi="宋体"/>
                <w:kern w:val="0"/>
                <w:sz w:val="18"/>
                <w:szCs w:val="18"/>
              </w:rPr>
            </w:pPr>
            <w:r>
              <w:rPr>
                <w:rFonts w:ascii="宋体" w:hAnsi="宋体"/>
                <w:kern w:val="0"/>
                <w:sz w:val="18"/>
                <w:szCs w:val="18"/>
              </w:rPr>
              <w:t>随服务器打包提供开机箱工具</w:t>
            </w:r>
          </w:p>
        </w:tc>
      </w:tr>
      <w:tr w14:paraId="48E1686E">
        <w:tblPrEx>
          <w:tblCellMar>
            <w:top w:w="0" w:type="dxa"/>
            <w:left w:w="108" w:type="dxa"/>
            <w:bottom w:w="0" w:type="dxa"/>
            <w:right w:w="108" w:type="dxa"/>
          </w:tblCellMar>
        </w:tblPrEx>
        <w:trPr>
          <w:trHeight w:val="695" w:hRule="atLeast"/>
        </w:trPr>
        <w:tc>
          <w:tcPr>
            <w:tcW w:w="480" w:type="dxa"/>
            <w:tcBorders>
              <w:top w:val="nil"/>
              <w:left w:val="single" w:color="auto" w:sz="4" w:space="0"/>
              <w:bottom w:val="single" w:color="auto" w:sz="4" w:space="0"/>
              <w:right w:val="single" w:color="auto" w:sz="4" w:space="0"/>
            </w:tcBorders>
            <w:vAlign w:val="center"/>
          </w:tcPr>
          <w:p w14:paraId="328C2CC3">
            <w:pPr>
              <w:widowControl/>
              <w:jc w:val="center"/>
              <w:rPr>
                <w:rFonts w:ascii="宋体" w:hAnsi="宋体"/>
                <w:kern w:val="0"/>
                <w:sz w:val="18"/>
                <w:szCs w:val="18"/>
              </w:rPr>
            </w:pPr>
            <w:r>
              <w:rPr>
                <w:rFonts w:ascii="宋体" w:hAnsi="宋体"/>
                <w:kern w:val="0"/>
                <w:sz w:val="18"/>
                <w:szCs w:val="18"/>
              </w:rPr>
              <w:t>136</w:t>
            </w:r>
          </w:p>
        </w:tc>
        <w:tc>
          <w:tcPr>
            <w:tcW w:w="1220" w:type="dxa"/>
            <w:tcBorders>
              <w:top w:val="nil"/>
              <w:left w:val="nil"/>
              <w:bottom w:val="single" w:color="auto" w:sz="4" w:space="0"/>
              <w:right w:val="single" w:color="auto" w:sz="4" w:space="0"/>
            </w:tcBorders>
            <w:vAlign w:val="center"/>
          </w:tcPr>
          <w:p w14:paraId="469DFFFE">
            <w:pPr>
              <w:widowControl/>
              <w:jc w:val="left"/>
              <w:rPr>
                <w:rFonts w:ascii="宋体" w:hAnsi="宋体"/>
                <w:kern w:val="0"/>
                <w:sz w:val="18"/>
                <w:szCs w:val="18"/>
              </w:rPr>
            </w:pPr>
            <w:r>
              <w:rPr>
                <w:rFonts w:ascii="宋体" w:hAnsi="宋体"/>
                <w:kern w:val="0"/>
                <w:sz w:val="18"/>
                <w:szCs w:val="18"/>
              </w:rPr>
              <w:t>服务要求</w:t>
            </w:r>
          </w:p>
        </w:tc>
        <w:tc>
          <w:tcPr>
            <w:tcW w:w="820" w:type="dxa"/>
            <w:vMerge w:val="continue"/>
            <w:tcBorders>
              <w:top w:val="nil"/>
              <w:left w:val="single" w:color="auto" w:sz="4" w:space="0"/>
              <w:bottom w:val="single" w:color="auto" w:sz="4" w:space="0"/>
              <w:right w:val="single" w:color="auto" w:sz="4" w:space="0"/>
            </w:tcBorders>
            <w:vAlign w:val="center"/>
          </w:tcPr>
          <w:p w14:paraId="3672943B">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64AD76EB">
            <w:pPr>
              <w:widowControl/>
              <w:jc w:val="left"/>
              <w:rPr>
                <w:rFonts w:ascii="宋体" w:hAnsi="宋体"/>
                <w:kern w:val="0"/>
                <w:sz w:val="18"/>
                <w:szCs w:val="18"/>
              </w:rPr>
            </w:pPr>
            <w:r>
              <w:rPr>
                <w:rFonts w:ascii="宋体" w:hAnsi="宋体"/>
                <w:kern w:val="0"/>
                <w:sz w:val="18"/>
                <w:szCs w:val="18"/>
              </w:rPr>
              <w:t>代码迁移工具</w:t>
            </w:r>
          </w:p>
        </w:tc>
        <w:tc>
          <w:tcPr>
            <w:tcW w:w="8860" w:type="dxa"/>
            <w:tcBorders>
              <w:top w:val="nil"/>
              <w:left w:val="nil"/>
              <w:bottom w:val="single" w:color="auto" w:sz="4" w:space="0"/>
              <w:right w:val="single" w:color="auto" w:sz="4" w:space="0"/>
            </w:tcBorders>
            <w:vAlign w:val="center"/>
          </w:tcPr>
          <w:p w14:paraId="6DB80D41">
            <w:pPr>
              <w:widowControl/>
              <w:jc w:val="left"/>
              <w:rPr>
                <w:rFonts w:ascii="宋体" w:hAnsi="宋体"/>
                <w:kern w:val="0"/>
                <w:sz w:val="18"/>
                <w:szCs w:val="18"/>
              </w:rPr>
            </w:pPr>
            <w:r>
              <w:rPr>
                <w:rFonts w:ascii="宋体" w:hAnsi="宋体"/>
                <w:kern w:val="0"/>
                <w:sz w:val="18"/>
                <w:szCs w:val="18"/>
              </w:rPr>
              <w:t>供应商提供从其他CPU架构到当前服务器CPU架构的软件迁移工具产品，支持软件包迁移评估，对满足产品重构要求的软件包，能重构为当前服务器CPU架构的软件包。提供源码迁移功能，检查分析C/C++/Fortran/Go/解释型语言/汇编等源码文件，基于产品功能给出迁移指导</w:t>
            </w:r>
          </w:p>
        </w:tc>
      </w:tr>
      <w:tr w14:paraId="39CC97E8">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0A701A82">
            <w:pPr>
              <w:widowControl/>
              <w:jc w:val="center"/>
              <w:rPr>
                <w:rFonts w:ascii="宋体" w:hAnsi="宋体"/>
                <w:kern w:val="0"/>
                <w:sz w:val="18"/>
                <w:szCs w:val="18"/>
              </w:rPr>
            </w:pPr>
            <w:r>
              <w:rPr>
                <w:rFonts w:ascii="宋体" w:hAnsi="宋体"/>
                <w:kern w:val="0"/>
                <w:sz w:val="18"/>
                <w:szCs w:val="18"/>
              </w:rPr>
              <w:t>137</w:t>
            </w:r>
          </w:p>
        </w:tc>
        <w:tc>
          <w:tcPr>
            <w:tcW w:w="1220" w:type="dxa"/>
            <w:tcBorders>
              <w:top w:val="nil"/>
              <w:left w:val="nil"/>
              <w:bottom w:val="single" w:color="auto" w:sz="4" w:space="0"/>
              <w:right w:val="single" w:color="auto" w:sz="4" w:space="0"/>
            </w:tcBorders>
            <w:vAlign w:val="center"/>
          </w:tcPr>
          <w:p w14:paraId="09B598D7">
            <w:pPr>
              <w:widowControl/>
              <w:jc w:val="left"/>
              <w:rPr>
                <w:rFonts w:ascii="宋体" w:hAnsi="宋体"/>
                <w:kern w:val="0"/>
                <w:sz w:val="18"/>
                <w:szCs w:val="18"/>
              </w:rPr>
            </w:pPr>
            <w:r>
              <w:rPr>
                <w:rFonts w:ascii="宋体" w:hAnsi="宋体"/>
                <w:kern w:val="0"/>
                <w:sz w:val="18"/>
                <w:szCs w:val="18"/>
              </w:rPr>
              <w:t>服务要求</w:t>
            </w:r>
          </w:p>
        </w:tc>
        <w:tc>
          <w:tcPr>
            <w:tcW w:w="820" w:type="dxa"/>
            <w:vMerge w:val="continue"/>
            <w:tcBorders>
              <w:top w:val="nil"/>
              <w:left w:val="single" w:color="auto" w:sz="4" w:space="0"/>
              <w:bottom w:val="single" w:color="auto" w:sz="4" w:space="0"/>
              <w:right w:val="single" w:color="auto" w:sz="4" w:space="0"/>
            </w:tcBorders>
            <w:vAlign w:val="center"/>
          </w:tcPr>
          <w:p w14:paraId="16B518A5">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3C7F2FAF">
            <w:pPr>
              <w:widowControl/>
              <w:jc w:val="left"/>
              <w:rPr>
                <w:rFonts w:ascii="宋体" w:hAnsi="宋体"/>
                <w:kern w:val="0"/>
                <w:sz w:val="18"/>
                <w:szCs w:val="18"/>
              </w:rPr>
            </w:pPr>
            <w:r>
              <w:rPr>
                <w:rFonts w:ascii="宋体" w:hAnsi="宋体"/>
                <w:kern w:val="0"/>
                <w:sz w:val="18"/>
                <w:szCs w:val="18"/>
              </w:rPr>
              <w:t>性能分析工具</w:t>
            </w:r>
          </w:p>
        </w:tc>
        <w:tc>
          <w:tcPr>
            <w:tcW w:w="8860" w:type="dxa"/>
            <w:tcBorders>
              <w:top w:val="nil"/>
              <w:left w:val="nil"/>
              <w:bottom w:val="single" w:color="auto" w:sz="4" w:space="0"/>
              <w:right w:val="single" w:color="auto" w:sz="4" w:space="0"/>
            </w:tcBorders>
            <w:vAlign w:val="center"/>
          </w:tcPr>
          <w:p w14:paraId="765519D3">
            <w:pPr>
              <w:widowControl/>
              <w:jc w:val="left"/>
              <w:rPr>
                <w:rFonts w:ascii="宋体" w:hAnsi="宋体"/>
                <w:kern w:val="0"/>
                <w:sz w:val="18"/>
                <w:szCs w:val="18"/>
              </w:rPr>
            </w:pPr>
            <w:r>
              <w:rPr>
                <w:rFonts w:ascii="宋体" w:hAnsi="宋体"/>
                <w:kern w:val="0"/>
                <w:sz w:val="18"/>
                <w:szCs w:val="18"/>
              </w:rPr>
              <w:t>供应商提供支持当前服务器CPU架构的性能分析工具产品，支持系统性能分析、Java性能分析和系统诊断，可分析系统或应用在CPU、内存、IO、网络等方面的性能，并给出优化建议</w:t>
            </w:r>
          </w:p>
        </w:tc>
      </w:tr>
      <w:tr w14:paraId="59E8750E">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78EC7A9E">
            <w:pPr>
              <w:widowControl/>
              <w:jc w:val="center"/>
              <w:rPr>
                <w:rFonts w:ascii="宋体" w:hAnsi="宋体"/>
                <w:kern w:val="0"/>
                <w:sz w:val="18"/>
                <w:szCs w:val="18"/>
              </w:rPr>
            </w:pPr>
            <w:r>
              <w:rPr>
                <w:rFonts w:ascii="宋体" w:hAnsi="宋体"/>
                <w:kern w:val="0"/>
                <w:sz w:val="18"/>
                <w:szCs w:val="18"/>
              </w:rPr>
              <w:t>138</w:t>
            </w:r>
          </w:p>
        </w:tc>
        <w:tc>
          <w:tcPr>
            <w:tcW w:w="1220" w:type="dxa"/>
            <w:tcBorders>
              <w:top w:val="nil"/>
              <w:left w:val="nil"/>
              <w:bottom w:val="single" w:color="auto" w:sz="4" w:space="0"/>
              <w:right w:val="single" w:color="auto" w:sz="4" w:space="0"/>
            </w:tcBorders>
            <w:vAlign w:val="center"/>
          </w:tcPr>
          <w:p w14:paraId="2328E959">
            <w:pPr>
              <w:widowControl/>
              <w:jc w:val="left"/>
              <w:rPr>
                <w:rFonts w:ascii="宋体" w:hAnsi="宋体"/>
                <w:kern w:val="0"/>
                <w:sz w:val="18"/>
                <w:szCs w:val="18"/>
              </w:rPr>
            </w:pPr>
            <w:r>
              <w:rPr>
                <w:rFonts w:ascii="宋体" w:hAnsi="宋体"/>
                <w:kern w:val="0"/>
                <w:sz w:val="18"/>
                <w:szCs w:val="18"/>
              </w:rPr>
              <w:t>服务要求</w:t>
            </w:r>
          </w:p>
        </w:tc>
        <w:tc>
          <w:tcPr>
            <w:tcW w:w="820" w:type="dxa"/>
            <w:vMerge w:val="continue"/>
            <w:tcBorders>
              <w:top w:val="nil"/>
              <w:left w:val="single" w:color="auto" w:sz="4" w:space="0"/>
              <w:bottom w:val="single" w:color="auto" w:sz="4" w:space="0"/>
              <w:right w:val="single" w:color="auto" w:sz="4" w:space="0"/>
            </w:tcBorders>
            <w:vAlign w:val="center"/>
          </w:tcPr>
          <w:p w14:paraId="738CCF2D">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7BF4D500">
            <w:pPr>
              <w:widowControl/>
              <w:jc w:val="left"/>
              <w:rPr>
                <w:rFonts w:ascii="宋体" w:hAnsi="宋体"/>
                <w:kern w:val="0"/>
                <w:sz w:val="18"/>
                <w:szCs w:val="18"/>
              </w:rPr>
            </w:pPr>
            <w:r>
              <w:rPr>
                <w:rFonts w:ascii="宋体" w:hAnsi="宋体"/>
                <w:kern w:val="0"/>
                <w:sz w:val="18"/>
                <w:szCs w:val="18"/>
              </w:rPr>
              <w:t>跨架构平台应用兼容</w:t>
            </w:r>
          </w:p>
        </w:tc>
        <w:tc>
          <w:tcPr>
            <w:tcW w:w="8860" w:type="dxa"/>
            <w:tcBorders>
              <w:top w:val="nil"/>
              <w:left w:val="nil"/>
              <w:bottom w:val="single" w:color="auto" w:sz="4" w:space="0"/>
              <w:right w:val="single" w:color="auto" w:sz="4" w:space="0"/>
            </w:tcBorders>
            <w:vAlign w:val="center"/>
          </w:tcPr>
          <w:p w14:paraId="7A9C5150">
            <w:pPr>
              <w:widowControl/>
              <w:jc w:val="left"/>
              <w:rPr>
                <w:rFonts w:ascii="宋体" w:hAnsi="宋体"/>
                <w:kern w:val="0"/>
                <w:sz w:val="18"/>
                <w:szCs w:val="18"/>
              </w:rPr>
            </w:pPr>
            <w:r>
              <w:rPr>
                <w:rFonts w:ascii="宋体" w:hAnsi="宋体"/>
                <w:kern w:val="0"/>
                <w:sz w:val="18"/>
                <w:szCs w:val="18"/>
              </w:rPr>
              <w:t>跨CPU架构平台应用兼容工具，可兼容一种或者一种以上不同架构平台的应用</w:t>
            </w:r>
          </w:p>
        </w:tc>
      </w:tr>
      <w:tr w14:paraId="33430209">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45DF71D4">
            <w:pPr>
              <w:widowControl/>
              <w:jc w:val="center"/>
              <w:rPr>
                <w:rFonts w:ascii="宋体" w:hAnsi="宋体"/>
                <w:kern w:val="0"/>
                <w:sz w:val="18"/>
                <w:szCs w:val="18"/>
              </w:rPr>
            </w:pPr>
            <w:r>
              <w:rPr>
                <w:rFonts w:ascii="宋体" w:hAnsi="宋体"/>
                <w:kern w:val="0"/>
                <w:sz w:val="18"/>
                <w:szCs w:val="18"/>
              </w:rPr>
              <w:t>139</w:t>
            </w:r>
          </w:p>
        </w:tc>
        <w:tc>
          <w:tcPr>
            <w:tcW w:w="1220" w:type="dxa"/>
            <w:tcBorders>
              <w:top w:val="nil"/>
              <w:left w:val="nil"/>
              <w:bottom w:val="single" w:color="auto" w:sz="4" w:space="0"/>
              <w:right w:val="single" w:color="auto" w:sz="4" w:space="0"/>
            </w:tcBorders>
            <w:vAlign w:val="center"/>
          </w:tcPr>
          <w:p w14:paraId="281EA064">
            <w:pPr>
              <w:widowControl/>
              <w:jc w:val="left"/>
              <w:rPr>
                <w:rFonts w:ascii="宋体" w:hAnsi="宋体"/>
                <w:kern w:val="0"/>
                <w:sz w:val="18"/>
                <w:szCs w:val="18"/>
              </w:rPr>
            </w:pPr>
            <w:r>
              <w:rPr>
                <w:rFonts w:ascii="宋体" w:hAnsi="宋体"/>
                <w:kern w:val="0"/>
                <w:sz w:val="18"/>
                <w:szCs w:val="18"/>
              </w:rPr>
              <w:t>服务要求</w:t>
            </w:r>
          </w:p>
        </w:tc>
        <w:tc>
          <w:tcPr>
            <w:tcW w:w="820" w:type="dxa"/>
            <w:vMerge w:val="continue"/>
            <w:tcBorders>
              <w:top w:val="nil"/>
              <w:left w:val="single" w:color="auto" w:sz="4" w:space="0"/>
              <w:bottom w:val="single" w:color="auto" w:sz="4" w:space="0"/>
              <w:right w:val="single" w:color="auto" w:sz="4" w:space="0"/>
            </w:tcBorders>
            <w:vAlign w:val="center"/>
          </w:tcPr>
          <w:p w14:paraId="39FBF605">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1219E18E">
            <w:pPr>
              <w:widowControl/>
              <w:jc w:val="left"/>
              <w:rPr>
                <w:rFonts w:ascii="宋体" w:hAnsi="宋体"/>
                <w:kern w:val="0"/>
                <w:sz w:val="18"/>
                <w:szCs w:val="18"/>
              </w:rPr>
            </w:pPr>
            <w:r>
              <w:rPr>
                <w:rFonts w:ascii="宋体" w:hAnsi="宋体"/>
                <w:kern w:val="0"/>
                <w:sz w:val="18"/>
                <w:szCs w:val="18"/>
              </w:rPr>
              <w:t>★管理软件</w:t>
            </w:r>
          </w:p>
        </w:tc>
        <w:tc>
          <w:tcPr>
            <w:tcW w:w="8860" w:type="dxa"/>
            <w:tcBorders>
              <w:top w:val="nil"/>
              <w:left w:val="nil"/>
              <w:bottom w:val="single" w:color="auto" w:sz="4" w:space="0"/>
              <w:right w:val="single" w:color="auto" w:sz="4" w:space="0"/>
            </w:tcBorders>
            <w:vAlign w:val="center"/>
          </w:tcPr>
          <w:p w14:paraId="05EEBFDC">
            <w:pPr>
              <w:widowControl/>
              <w:jc w:val="left"/>
              <w:rPr>
                <w:rFonts w:ascii="宋体" w:hAnsi="宋体"/>
                <w:kern w:val="0"/>
                <w:sz w:val="18"/>
                <w:szCs w:val="18"/>
              </w:rPr>
            </w:pPr>
            <w:r>
              <w:rPr>
                <w:rFonts w:ascii="宋体" w:hAnsi="宋体"/>
                <w:kern w:val="0"/>
                <w:sz w:val="18"/>
                <w:szCs w:val="18"/>
              </w:rPr>
              <w:t>具备资源管理、系统管理、性能监控、健康监控、基于网络控制、报警设置功能</w:t>
            </w:r>
          </w:p>
        </w:tc>
      </w:tr>
      <w:tr w14:paraId="17B076B9">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2CB1E611">
            <w:pPr>
              <w:widowControl/>
              <w:jc w:val="center"/>
              <w:rPr>
                <w:rFonts w:ascii="宋体" w:hAnsi="宋体"/>
                <w:kern w:val="0"/>
                <w:sz w:val="18"/>
                <w:szCs w:val="18"/>
              </w:rPr>
            </w:pPr>
            <w:r>
              <w:rPr>
                <w:rFonts w:ascii="宋体" w:hAnsi="宋体"/>
                <w:kern w:val="0"/>
                <w:sz w:val="18"/>
                <w:szCs w:val="18"/>
              </w:rPr>
              <w:t>140</w:t>
            </w:r>
          </w:p>
        </w:tc>
        <w:tc>
          <w:tcPr>
            <w:tcW w:w="1220" w:type="dxa"/>
            <w:tcBorders>
              <w:top w:val="nil"/>
              <w:left w:val="nil"/>
              <w:bottom w:val="single" w:color="auto" w:sz="4" w:space="0"/>
              <w:right w:val="single" w:color="auto" w:sz="4" w:space="0"/>
            </w:tcBorders>
            <w:vAlign w:val="center"/>
          </w:tcPr>
          <w:p w14:paraId="3FD3E900">
            <w:pPr>
              <w:widowControl/>
              <w:jc w:val="left"/>
              <w:rPr>
                <w:rFonts w:ascii="宋体" w:hAnsi="宋体"/>
                <w:kern w:val="0"/>
                <w:sz w:val="18"/>
                <w:szCs w:val="18"/>
              </w:rPr>
            </w:pPr>
            <w:r>
              <w:rPr>
                <w:rFonts w:ascii="宋体" w:hAnsi="宋体"/>
                <w:kern w:val="0"/>
                <w:sz w:val="18"/>
                <w:szCs w:val="18"/>
              </w:rPr>
              <w:t>服务要求</w:t>
            </w:r>
          </w:p>
        </w:tc>
        <w:tc>
          <w:tcPr>
            <w:tcW w:w="820" w:type="dxa"/>
            <w:vMerge w:val="restart"/>
            <w:tcBorders>
              <w:top w:val="nil"/>
              <w:left w:val="single" w:color="auto" w:sz="4" w:space="0"/>
              <w:bottom w:val="single" w:color="auto" w:sz="4" w:space="0"/>
              <w:right w:val="single" w:color="auto" w:sz="4" w:space="0"/>
            </w:tcBorders>
            <w:vAlign w:val="center"/>
          </w:tcPr>
          <w:p w14:paraId="3F9E8223">
            <w:pPr>
              <w:widowControl/>
              <w:jc w:val="center"/>
              <w:rPr>
                <w:rFonts w:ascii="宋体" w:hAnsi="宋体"/>
                <w:kern w:val="0"/>
                <w:sz w:val="18"/>
                <w:szCs w:val="18"/>
              </w:rPr>
            </w:pPr>
            <w:r>
              <w:rPr>
                <w:rFonts w:ascii="宋体" w:hAnsi="宋体"/>
                <w:kern w:val="0"/>
                <w:sz w:val="18"/>
                <w:szCs w:val="18"/>
              </w:rPr>
              <w:t>增值服务</w:t>
            </w:r>
          </w:p>
        </w:tc>
        <w:tc>
          <w:tcPr>
            <w:tcW w:w="1320" w:type="dxa"/>
            <w:tcBorders>
              <w:top w:val="nil"/>
              <w:left w:val="nil"/>
              <w:bottom w:val="single" w:color="auto" w:sz="4" w:space="0"/>
              <w:right w:val="single" w:color="auto" w:sz="4" w:space="0"/>
            </w:tcBorders>
            <w:vAlign w:val="center"/>
          </w:tcPr>
          <w:p w14:paraId="3EF34A16">
            <w:pPr>
              <w:widowControl/>
              <w:jc w:val="left"/>
              <w:rPr>
                <w:rFonts w:ascii="宋体" w:hAnsi="宋体"/>
                <w:kern w:val="0"/>
                <w:sz w:val="18"/>
                <w:szCs w:val="18"/>
              </w:rPr>
            </w:pPr>
            <w:r>
              <w:rPr>
                <w:rFonts w:ascii="宋体" w:hAnsi="宋体"/>
                <w:kern w:val="0"/>
                <w:sz w:val="18"/>
                <w:szCs w:val="18"/>
              </w:rPr>
              <w:t>★厂家升级产品软件与扩容服务</w:t>
            </w:r>
          </w:p>
        </w:tc>
        <w:tc>
          <w:tcPr>
            <w:tcW w:w="8860" w:type="dxa"/>
            <w:tcBorders>
              <w:top w:val="nil"/>
              <w:left w:val="nil"/>
              <w:bottom w:val="single" w:color="auto" w:sz="4" w:space="0"/>
              <w:right w:val="single" w:color="auto" w:sz="4" w:space="0"/>
            </w:tcBorders>
            <w:vAlign w:val="center"/>
          </w:tcPr>
          <w:p w14:paraId="166E11E0">
            <w:pPr>
              <w:widowControl/>
              <w:jc w:val="left"/>
              <w:rPr>
                <w:rFonts w:ascii="宋体" w:hAnsi="宋体"/>
                <w:kern w:val="0"/>
                <w:sz w:val="18"/>
                <w:szCs w:val="18"/>
              </w:rPr>
            </w:pPr>
            <w:r>
              <w:rPr>
                <w:rFonts w:ascii="宋体" w:hAnsi="宋体"/>
                <w:kern w:val="0"/>
                <w:sz w:val="18"/>
                <w:szCs w:val="18"/>
              </w:rPr>
              <w:t>供应商提供原厂级的部件/软件产品升级和扩容能力</w:t>
            </w:r>
          </w:p>
        </w:tc>
      </w:tr>
      <w:tr w14:paraId="77161092">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67C76175">
            <w:pPr>
              <w:widowControl/>
              <w:jc w:val="center"/>
              <w:rPr>
                <w:rFonts w:ascii="宋体" w:hAnsi="宋体"/>
                <w:kern w:val="0"/>
                <w:sz w:val="18"/>
                <w:szCs w:val="18"/>
              </w:rPr>
            </w:pPr>
            <w:r>
              <w:rPr>
                <w:rFonts w:ascii="宋体" w:hAnsi="宋体"/>
                <w:kern w:val="0"/>
                <w:sz w:val="18"/>
                <w:szCs w:val="18"/>
              </w:rPr>
              <w:t>141</w:t>
            </w:r>
          </w:p>
        </w:tc>
        <w:tc>
          <w:tcPr>
            <w:tcW w:w="1220" w:type="dxa"/>
            <w:tcBorders>
              <w:top w:val="nil"/>
              <w:left w:val="nil"/>
              <w:bottom w:val="single" w:color="auto" w:sz="4" w:space="0"/>
              <w:right w:val="single" w:color="auto" w:sz="4" w:space="0"/>
            </w:tcBorders>
            <w:vAlign w:val="center"/>
          </w:tcPr>
          <w:p w14:paraId="66F2C5EE">
            <w:pPr>
              <w:widowControl/>
              <w:jc w:val="left"/>
              <w:rPr>
                <w:rFonts w:ascii="宋体" w:hAnsi="宋体"/>
                <w:kern w:val="0"/>
                <w:sz w:val="18"/>
                <w:szCs w:val="18"/>
              </w:rPr>
            </w:pPr>
            <w:r>
              <w:rPr>
                <w:rFonts w:ascii="宋体" w:hAnsi="宋体"/>
                <w:kern w:val="0"/>
                <w:sz w:val="18"/>
                <w:szCs w:val="18"/>
              </w:rPr>
              <w:t>服务要求</w:t>
            </w:r>
          </w:p>
        </w:tc>
        <w:tc>
          <w:tcPr>
            <w:tcW w:w="820" w:type="dxa"/>
            <w:vMerge w:val="continue"/>
            <w:tcBorders>
              <w:top w:val="nil"/>
              <w:left w:val="single" w:color="auto" w:sz="4" w:space="0"/>
              <w:bottom w:val="single" w:color="auto" w:sz="4" w:space="0"/>
              <w:right w:val="single" w:color="auto" w:sz="4" w:space="0"/>
            </w:tcBorders>
            <w:vAlign w:val="center"/>
          </w:tcPr>
          <w:p w14:paraId="0AA0220B">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3C46A6A9">
            <w:pPr>
              <w:widowControl/>
              <w:jc w:val="left"/>
              <w:rPr>
                <w:rFonts w:ascii="宋体" w:hAnsi="宋体"/>
                <w:kern w:val="0"/>
                <w:sz w:val="18"/>
                <w:szCs w:val="18"/>
              </w:rPr>
            </w:pPr>
            <w:r>
              <w:rPr>
                <w:rFonts w:ascii="宋体" w:hAnsi="宋体"/>
                <w:kern w:val="0"/>
                <w:sz w:val="18"/>
                <w:szCs w:val="18"/>
              </w:rPr>
              <w:t>服务保障升级</w:t>
            </w:r>
          </w:p>
        </w:tc>
        <w:tc>
          <w:tcPr>
            <w:tcW w:w="8860" w:type="dxa"/>
            <w:tcBorders>
              <w:top w:val="nil"/>
              <w:left w:val="nil"/>
              <w:bottom w:val="single" w:color="auto" w:sz="4" w:space="0"/>
              <w:right w:val="single" w:color="auto" w:sz="4" w:space="0"/>
            </w:tcBorders>
            <w:vAlign w:val="center"/>
          </w:tcPr>
          <w:p w14:paraId="7D7470BD">
            <w:pPr>
              <w:widowControl/>
              <w:jc w:val="left"/>
              <w:rPr>
                <w:rFonts w:ascii="宋体" w:hAnsi="宋体"/>
                <w:kern w:val="0"/>
                <w:sz w:val="18"/>
                <w:szCs w:val="18"/>
              </w:rPr>
            </w:pPr>
            <w:r>
              <w:rPr>
                <w:rFonts w:ascii="宋体" w:hAnsi="宋体"/>
                <w:kern w:val="0"/>
                <w:sz w:val="18"/>
                <w:szCs w:val="18"/>
              </w:rPr>
              <w:t>供应商有偿提供远程技术支持、软件授权服务、备件更换服务、现场支承服务</w:t>
            </w:r>
          </w:p>
        </w:tc>
      </w:tr>
      <w:tr w14:paraId="5B609946">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2486B271">
            <w:pPr>
              <w:widowControl/>
              <w:jc w:val="center"/>
              <w:rPr>
                <w:rFonts w:ascii="宋体" w:hAnsi="宋体"/>
                <w:kern w:val="0"/>
                <w:sz w:val="18"/>
                <w:szCs w:val="18"/>
              </w:rPr>
            </w:pPr>
            <w:r>
              <w:rPr>
                <w:rFonts w:ascii="宋体" w:hAnsi="宋体"/>
                <w:kern w:val="0"/>
                <w:sz w:val="18"/>
                <w:szCs w:val="18"/>
              </w:rPr>
              <w:t>142</w:t>
            </w:r>
          </w:p>
        </w:tc>
        <w:tc>
          <w:tcPr>
            <w:tcW w:w="1220" w:type="dxa"/>
            <w:tcBorders>
              <w:top w:val="nil"/>
              <w:left w:val="nil"/>
              <w:bottom w:val="single" w:color="auto" w:sz="4" w:space="0"/>
              <w:right w:val="single" w:color="auto" w:sz="4" w:space="0"/>
            </w:tcBorders>
            <w:vAlign w:val="center"/>
          </w:tcPr>
          <w:p w14:paraId="5E786733">
            <w:pPr>
              <w:widowControl/>
              <w:jc w:val="left"/>
              <w:rPr>
                <w:rFonts w:ascii="宋体" w:hAnsi="宋体"/>
                <w:kern w:val="0"/>
                <w:sz w:val="18"/>
                <w:szCs w:val="18"/>
              </w:rPr>
            </w:pPr>
            <w:r>
              <w:rPr>
                <w:rFonts w:ascii="宋体" w:hAnsi="宋体"/>
                <w:kern w:val="0"/>
                <w:sz w:val="18"/>
                <w:szCs w:val="18"/>
              </w:rPr>
              <w:t>服务要求</w:t>
            </w:r>
          </w:p>
        </w:tc>
        <w:tc>
          <w:tcPr>
            <w:tcW w:w="820" w:type="dxa"/>
            <w:vMerge w:val="continue"/>
            <w:tcBorders>
              <w:top w:val="nil"/>
              <w:left w:val="single" w:color="auto" w:sz="4" w:space="0"/>
              <w:bottom w:val="single" w:color="auto" w:sz="4" w:space="0"/>
              <w:right w:val="single" w:color="auto" w:sz="4" w:space="0"/>
            </w:tcBorders>
            <w:vAlign w:val="center"/>
          </w:tcPr>
          <w:p w14:paraId="4C1BFAAD">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686C8EF2">
            <w:pPr>
              <w:widowControl/>
              <w:jc w:val="left"/>
              <w:rPr>
                <w:rFonts w:ascii="宋体" w:hAnsi="宋体"/>
                <w:kern w:val="0"/>
                <w:sz w:val="18"/>
                <w:szCs w:val="18"/>
              </w:rPr>
            </w:pPr>
            <w:r>
              <w:rPr>
                <w:rFonts w:ascii="宋体" w:hAnsi="宋体"/>
                <w:kern w:val="0"/>
                <w:sz w:val="18"/>
                <w:szCs w:val="18"/>
              </w:rPr>
              <w:t>★提供上门服务</w:t>
            </w:r>
          </w:p>
        </w:tc>
        <w:tc>
          <w:tcPr>
            <w:tcW w:w="8860" w:type="dxa"/>
            <w:tcBorders>
              <w:top w:val="nil"/>
              <w:left w:val="nil"/>
              <w:bottom w:val="single" w:color="auto" w:sz="4" w:space="0"/>
              <w:right w:val="single" w:color="auto" w:sz="4" w:space="0"/>
            </w:tcBorders>
            <w:vAlign w:val="center"/>
          </w:tcPr>
          <w:p w14:paraId="27B4BA6C">
            <w:pPr>
              <w:widowControl/>
              <w:jc w:val="left"/>
              <w:rPr>
                <w:rFonts w:ascii="宋体" w:hAnsi="宋体"/>
                <w:kern w:val="0"/>
                <w:sz w:val="18"/>
                <w:szCs w:val="18"/>
              </w:rPr>
            </w:pPr>
            <w:r>
              <w:rPr>
                <w:rFonts w:ascii="宋体" w:hAnsi="宋体"/>
                <w:kern w:val="0"/>
                <w:sz w:val="18"/>
                <w:szCs w:val="18"/>
              </w:rPr>
              <w:t>供应商具备提供上门服务的能力(可收费)</w:t>
            </w:r>
          </w:p>
        </w:tc>
      </w:tr>
      <w:tr w14:paraId="41317944">
        <w:tblPrEx>
          <w:tblCellMar>
            <w:top w:w="0" w:type="dxa"/>
            <w:left w:w="108" w:type="dxa"/>
            <w:bottom w:w="0" w:type="dxa"/>
            <w:right w:w="108" w:type="dxa"/>
          </w:tblCellMar>
        </w:tblPrEx>
        <w:trPr>
          <w:trHeight w:val="695" w:hRule="atLeast"/>
        </w:trPr>
        <w:tc>
          <w:tcPr>
            <w:tcW w:w="480" w:type="dxa"/>
            <w:tcBorders>
              <w:top w:val="nil"/>
              <w:left w:val="single" w:color="auto" w:sz="4" w:space="0"/>
              <w:bottom w:val="single" w:color="auto" w:sz="4" w:space="0"/>
              <w:right w:val="single" w:color="auto" w:sz="4" w:space="0"/>
            </w:tcBorders>
            <w:vAlign w:val="center"/>
          </w:tcPr>
          <w:p w14:paraId="23E4FCAE">
            <w:pPr>
              <w:widowControl/>
              <w:jc w:val="center"/>
              <w:rPr>
                <w:rFonts w:ascii="宋体" w:hAnsi="宋体"/>
                <w:kern w:val="0"/>
                <w:sz w:val="18"/>
                <w:szCs w:val="18"/>
              </w:rPr>
            </w:pPr>
            <w:r>
              <w:rPr>
                <w:rFonts w:ascii="宋体" w:hAnsi="宋体"/>
                <w:kern w:val="0"/>
                <w:sz w:val="18"/>
                <w:szCs w:val="18"/>
              </w:rPr>
              <w:t>143</w:t>
            </w:r>
          </w:p>
        </w:tc>
        <w:tc>
          <w:tcPr>
            <w:tcW w:w="1220" w:type="dxa"/>
            <w:tcBorders>
              <w:top w:val="nil"/>
              <w:left w:val="nil"/>
              <w:bottom w:val="single" w:color="auto" w:sz="4" w:space="0"/>
              <w:right w:val="single" w:color="auto" w:sz="4" w:space="0"/>
            </w:tcBorders>
            <w:vAlign w:val="center"/>
          </w:tcPr>
          <w:p w14:paraId="22BE686B">
            <w:pPr>
              <w:widowControl/>
              <w:jc w:val="left"/>
              <w:rPr>
                <w:rFonts w:ascii="宋体" w:hAnsi="宋体"/>
                <w:kern w:val="0"/>
                <w:sz w:val="18"/>
                <w:szCs w:val="18"/>
              </w:rPr>
            </w:pPr>
            <w:r>
              <w:rPr>
                <w:rFonts w:ascii="宋体" w:hAnsi="宋体"/>
                <w:kern w:val="0"/>
                <w:sz w:val="18"/>
                <w:szCs w:val="18"/>
              </w:rPr>
              <w:t>服务要求</w:t>
            </w:r>
          </w:p>
        </w:tc>
        <w:tc>
          <w:tcPr>
            <w:tcW w:w="820" w:type="dxa"/>
            <w:vMerge w:val="continue"/>
            <w:tcBorders>
              <w:top w:val="nil"/>
              <w:left w:val="single" w:color="auto" w:sz="4" w:space="0"/>
              <w:bottom w:val="single" w:color="auto" w:sz="4" w:space="0"/>
              <w:right w:val="single" w:color="auto" w:sz="4" w:space="0"/>
            </w:tcBorders>
            <w:vAlign w:val="center"/>
          </w:tcPr>
          <w:p w14:paraId="7DB8961A">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2D635D5B">
            <w:pPr>
              <w:widowControl/>
              <w:jc w:val="left"/>
              <w:rPr>
                <w:rFonts w:ascii="宋体" w:hAnsi="宋体"/>
                <w:kern w:val="0"/>
                <w:sz w:val="18"/>
                <w:szCs w:val="18"/>
              </w:rPr>
            </w:pPr>
            <w:r>
              <w:rPr>
                <w:rFonts w:ascii="宋体" w:hAnsi="宋体"/>
                <w:kern w:val="0"/>
                <w:sz w:val="18"/>
                <w:szCs w:val="18"/>
              </w:rPr>
              <w:t>业务场景性能优化服务及整体架构升级服务</w:t>
            </w:r>
          </w:p>
        </w:tc>
        <w:tc>
          <w:tcPr>
            <w:tcW w:w="8860" w:type="dxa"/>
            <w:tcBorders>
              <w:top w:val="nil"/>
              <w:left w:val="nil"/>
              <w:bottom w:val="single" w:color="auto" w:sz="4" w:space="0"/>
              <w:right w:val="single" w:color="auto" w:sz="4" w:space="0"/>
            </w:tcBorders>
            <w:vAlign w:val="center"/>
          </w:tcPr>
          <w:p w14:paraId="580133EA">
            <w:pPr>
              <w:widowControl/>
              <w:jc w:val="left"/>
              <w:rPr>
                <w:rFonts w:ascii="宋体" w:hAnsi="宋体"/>
                <w:kern w:val="0"/>
                <w:sz w:val="18"/>
                <w:szCs w:val="18"/>
              </w:rPr>
            </w:pPr>
            <w:r>
              <w:rPr>
                <w:rFonts w:ascii="宋体" w:hAnsi="宋体"/>
                <w:kern w:val="0"/>
                <w:sz w:val="18"/>
                <w:szCs w:val="18"/>
              </w:rPr>
              <w:t>供应商提供针对特定业务场景性能优化服务及整体架构升级服务</w:t>
            </w:r>
          </w:p>
        </w:tc>
      </w:tr>
      <w:tr w14:paraId="60EAC5BA">
        <w:tblPrEx>
          <w:tblCellMar>
            <w:top w:w="0" w:type="dxa"/>
            <w:left w:w="108" w:type="dxa"/>
            <w:bottom w:w="0" w:type="dxa"/>
            <w:right w:w="108" w:type="dxa"/>
          </w:tblCellMar>
        </w:tblPrEx>
        <w:trPr>
          <w:trHeight w:val="463" w:hRule="atLeast"/>
        </w:trPr>
        <w:tc>
          <w:tcPr>
            <w:tcW w:w="480" w:type="dxa"/>
            <w:tcBorders>
              <w:top w:val="nil"/>
              <w:left w:val="single" w:color="auto" w:sz="4" w:space="0"/>
              <w:bottom w:val="single" w:color="auto" w:sz="4" w:space="0"/>
              <w:right w:val="single" w:color="auto" w:sz="4" w:space="0"/>
            </w:tcBorders>
            <w:vAlign w:val="center"/>
          </w:tcPr>
          <w:p w14:paraId="2205F6B4">
            <w:pPr>
              <w:widowControl/>
              <w:jc w:val="center"/>
              <w:rPr>
                <w:rFonts w:ascii="宋体" w:hAnsi="宋体"/>
                <w:kern w:val="0"/>
                <w:sz w:val="18"/>
                <w:szCs w:val="18"/>
              </w:rPr>
            </w:pPr>
            <w:r>
              <w:rPr>
                <w:rFonts w:ascii="宋体" w:hAnsi="宋体"/>
                <w:kern w:val="0"/>
                <w:sz w:val="18"/>
                <w:szCs w:val="18"/>
              </w:rPr>
              <w:t>144</w:t>
            </w:r>
          </w:p>
        </w:tc>
        <w:tc>
          <w:tcPr>
            <w:tcW w:w="1220" w:type="dxa"/>
            <w:tcBorders>
              <w:top w:val="nil"/>
              <w:left w:val="nil"/>
              <w:bottom w:val="single" w:color="auto" w:sz="4" w:space="0"/>
              <w:right w:val="single" w:color="auto" w:sz="4" w:space="0"/>
            </w:tcBorders>
            <w:vAlign w:val="center"/>
          </w:tcPr>
          <w:p w14:paraId="59D6186D">
            <w:pPr>
              <w:widowControl/>
              <w:jc w:val="center"/>
              <w:rPr>
                <w:rFonts w:ascii="宋体" w:hAnsi="宋体"/>
                <w:kern w:val="0"/>
                <w:sz w:val="18"/>
                <w:szCs w:val="18"/>
              </w:rPr>
            </w:pPr>
            <w:r>
              <w:rPr>
                <w:rFonts w:ascii="宋体" w:hAnsi="宋体"/>
                <w:kern w:val="0"/>
                <w:sz w:val="18"/>
                <w:szCs w:val="18"/>
              </w:rPr>
              <w:t>供保要求</w:t>
            </w:r>
          </w:p>
        </w:tc>
        <w:tc>
          <w:tcPr>
            <w:tcW w:w="820" w:type="dxa"/>
            <w:vMerge w:val="restart"/>
            <w:tcBorders>
              <w:top w:val="nil"/>
              <w:left w:val="single" w:color="auto" w:sz="4" w:space="0"/>
              <w:bottom w:val="single" w:color="auto" w:sz="4" w:space="0"/>
              <w:right w:val="single" w:color="auto" w:sz="4" w:space="0"/>
            </w:tcBorders>
            <w:vAlign w:val="center"/>
          </w:tcPr>
          <w:p w14:paraId="057400EB">
            <w:pPr>
              <w:widowControl/>
              <w:jc w:val="center"/>
              <w:rPr>
                <w:rFonts w:ascii="宋体" w:hAnsi="宋体"/>
                <w:kern w:val="0"/>
                <w:sz w:val="18"/>
                <w:szCs w:val="18"/>
              </w:rPr>
            </w:pPr>
            <w:r>
              <w:rPr>
                <w:rFonts w:ascii="宋体" w:hAnsi="宋体"/>
                <w:kern w:val="0"/>
                <w:sz w:val="18"/>
                <w:szCs w:val="18"/>
              </w:rPr>
              <w:t>供应链质量</w:t>
            </w:r>
          </w:p>
        </w:tc>
        <w:tc>
          <w:tcPr>
            <w:tcW w:w="1320" w:type="dxa"/>
            <w:tcBorders>
              <w:top w:val="nil"/>
              <w:left w:val="nil"/>
              <w:bottom w:val="single" w:color="auto" w:sz="4" w:space="0"/>
              <w:right w:val="single" w:color="auto" w:sz="4" w:space="0"/>
            </w:tcBorders>
            <w:vAlign w:val="center"/>
          </w:tcPr>
          <w:p w14:paraId="4E53D963">
            <w:pPr>
              <w:widowControl/>
              <w:jc w:val="left"/>
              <w:rPr>
                <w:rFonts w:ascii="宋体" w:hAnsi="宋体"/>
                <w:kern w:val="0"/>
                <w:sz w:val="18"/>
                <w:szCs w:val="18"/>
              </w:rPr>
            </w:pPr>
            <w:r>
              <w:rPr>
                <w:rFonts w:ascii="宋体" w:hAnsi="宋体"/>
                <w:kern w:val="0"/>
                <w:sz w:val="18"/>
                <w:szCs w:val="18"/>
              </w:rPr>
              <w:t>★抗干扰性</w:t>
            </w:r>
          </w:p>
        </w:tc>
        <w:tc>
          <w:tcPr>
            <w:tcW w:w="8860" w:type="dxa"/>
            <w:tcBorders>
              <w:top w:val="nil"/>
              <w:left w:val="nil"/>
              <w:bottom w:val="single" w:color="auto" w:sz="4" w:space="0"/>
              <w:right w:val="single" w:color="auto" w:sz="4" w:space="0"/>
            </w:tcBorders>
            <w:vAlign w:val="center"/>
          </w:tcPr>
          <w:p w14:paraId="01C796A4">
            <w:pPr>
              <w:widowControl/>
              <w:jc w:val="left"/>
              <w:rPr>
                <w:rFonts w:ascii="宋体" w:hAnsi="宋体"/>
                <w:kern w:val="0"/>
                <w:sz w:val="18"/>
                <w:szCs w:val="18"/>
              </w:rPr>
            </w:pPr>
            <w:r>
              <w:rPr>
                <w:rFonts w:ascii="宋体" w:hAnsi="宋体"/>
                <w:kern w:val="0"/>
                <w:sz w:val="18"/>
                <w:szCs w:val="18"/>
              </w:rPr>
              <w:t>当产品部件出现供应风险时，应通知客户并提供风险应对方案确保产品的服务保障，必要时应停止相关受影响产品的销售</w:t>
            </w:r>
          </w:p>
        </w:tc>
      </w:tr>
      <w:tr w14:paraId="31BEAE49">
        <w:tblPrEx>
          <w:tblCellMar>
            <w:top w:w="0" w:type="dxa"/>
            <w:left w:w="108" w:type="dxa"/>
            <w:bottom w:w="0" w:type="dxa"/>
            <w:right w:w="108" w:type="dxa"/>
          </w:tblCellMar>
        </w:tblPrEx>
        <w:trPr>
          <w:trHeight w:val="232" w:hRule="atLeast"/>
        </w:trPr>
        <w:tc>
          <w:tcPr>
            <w:tcW w:w="480" w:type="dxa"/>
            <w:tcBorders>
              <w:top w:val="nil"/>
              <w:left w:val="single" w:color="auto" w:sz="4" w:space="0"/>
              <w:bottom w:val="single" w:color="auto" w:sz="4" w:space="0"/>
              <w:right w:val="single" w:color="auto" w:sz="4" w:space="0"/>
            </w:tcBorders>
            <w:vAlign w:val="center"/>
          </w:tcPr>
          <w:p w14:paraId="29B05A99">
            <w:pPr>
              <w:widowControl/>
              <w:jc w:val="center"/>
              <w:rPr>
                <w:rFonts w:ascii="宋体" w:hAnsi="宋体"/>
                <w:kern w:val="0"/>
                <w:sz w:val="18"/>
                <w:szCs w:val="18"/>
              </w:rPr>
            </w:pPr>
            <w:r>
              <w:rPr>
                <w:rFonts w:ascii="宋体" w:hAnsi="宋体"/>
                <w:kern w:val="0"/>
                <w:sz w:val="18"/>
                <w:szCs w:val="18"/>
              </w:rPr>
              <w:t>145</w:t>
            </w:r>
          </w:p>
        </w:tc>
        <w:tc>
          <w:tcPr>
            <w:tcW w:w="1220" w:type="dxa"/>
            <w:tcBorders>
              <w:top w:val="nil"/>
              <w:left w:val="nil"/>
              <w:bottom w:val="single" w:color="auto" w:sz="4" w:space="0"/>
              <w:right w:val="single" w:color="auto" w:sz="4" w:space="0"/>
            </w:tcBorders>
            <w:vAlign w:val="center"/>
          </w:tcPr>
          <w:p w14:paraId="6D906AE2">
            <w:pPr>
              <w:widowControl/>
              <w:jc w:val="center"/>
              <w:rPr>
                <w:rFonts w:ascii="宋体" w:hAnsi="宋体"/>
                <w:kern w:val="0"/>
                <w:sz w:val="18"/>
                <w:szCs w:val="18"/>
              </w:rPr>
            </w:pPr>
            <w:r>
              <w:rPr>
                <w:rFonts w:ascii="宋体" w:hAnsi="宋体"/>
                <w:kern w:val="0"/>
                <w:sz w:val="18"/>
                <w:szCs w:val="18"/>
              </w:rPr>
              <w:t>供保要求</w:t>
            </w:r>
          </w:p>
        </w:tc>
        <w:tc>
          <w:tcPr>
            <w:tcW w:w="820" w:type="dxa"/>
            <w:vMerge w:val="continue"/>
            <w:tcBorders>
              <w:top w:val="nil"/>
              <w:left w:val="single" w:color="auto" w:sz="4" w:space="0"/>
              <w:bottom w:val="single" w:color="auto" w:sz="4" w:space="0"/>
              <w:right w:val="single" w:color="auto" w:sz="4" w:space="0"/>
            </w:tcBorders>
            <w:vAlign w:val="center"/>
          </w:tcPr>
          <w:p w14:paraId="58614EFF">
            <w:pPr>
              <w:widowControl/>
              <w:jc w:val="left"/>
              <w:rPr>
                <w:rFonts w:ascii="宋体" w:hAnsi="宋体"/>
                <w:kern w:val="0"/>
                <w:sz w:val="18"/>
                <w:szCs w:val="18"/>
              </w:rPr>
            </w:pPr>
          </w:p>
        </w:tc>
        <w:tc>
          <w:tcPr>
            <w:tcW w:w="1320" w:type="dxa"/>
            <w:tcBorders>
              <w:top w:val="nil"/>
              <w:left w:val="nil"/>
              <w:bottom w:val="single" w:color="auto" w:sz="4" w:space="0"/>
              <w:right w:val="single" w:color="auto" w:sz="4" w:space="0"/>
            </w:tcBorders>
            <w:vAlign w:val="center"/>
          </w:tcPr>
          <w:p w14:paraId="28205FE2">
            <w:pPr>
              <w:widowControl/>
              <w:jc w:val="left"/>
              <w:rPr>
                <w:rFonts w:ascii="宋体" w:hAnsi="宋体"/>
                <w:kern w:val="0"/>
                <w:sz w:val="18"/>
                <w:szCs w:val="18"/>
              </w:rPr>
            </w:pPr>
            <w:r>
              <w:rPr>
                <w:rFonts w:ascii="宋体" w:hAnsi="宋体"/>
                <w:kern w:val="0"/>
                <w:sz w:val="18"/>
                <w:szCs w:val="18"/>
              </w:rPr>
              <w:t>★供应能力证明</w:t>
            </w:r>
          </w:p>
        </w:tc>
        <w:tc>
          <w:tcPr>
            <w:tcW w:w="8860" w:type="dxa"/>
            <w:tcBorders>
              <w:top w:val="nil"/>
              <w:left w:val="nil"/>
              <w:bottom w:val="single" w:color="auto" w:sz="4" w:space="0"/>
              <w:right w:val="single" w:color="auto" w:sz="4" w:space="0"/>
            </w:tcBorders>
            <w:vAlign w:val="center"/>
          </w:tcPr>
          <w:p w14:paraId="7D0B335F">
            <w:pPr>
              <w:widowControl/>
              <w:jc w:val="left"/>
              <w:rPr>
                <w:rFonts w:ascii="宋体" w:hAnsi="宋体"/>
                <w:kern w:val="0"/>
                <w:sz w:val="18"/>
                <w:szCs w:val="18"/>
              </w:rPr>
            </w:pPr>
            <w:r>
              <w:rPr>
                <w:rFonts w:ascii="宋体" w:hAnsi="宋体"/>
                <w:kern w:val="0"/>
                <w:sz w:val="18"/>
                <w:szCs w:val="18"/>
              </w:rPr>
              <w:t>供应商提供供应链稳定承诺书，确保产品的部件在产品服务周期内稳定供货</w:t>
            </w:r>
          </w:p>
        </w:tc>
      </w:tr>
    </w:tbl>
    <w:p w14:paraId="7B30FA36">
      <w:pPr>
        <w:tabs>
          <w:tab w:val="left" w:pos="360"/>
          <w:tab w:val="left" w:pos="540"/>
        </w:tabs>
        <w:spacing w:line="360" w:lineRule="auto"/>
        <w:rPr>
          <w:rFonts w:ascii="宋体" w:hAnsi="宋体" w:cs="宋体"/>
          <w:szCs w:val="21"/>
        </w:rPr>
      </w:pPr>
    </w:p>
    <w:p w14:paraId="20FBE5B3">
      <w:pPr>
        <w:tabs>
          <w:tab w:val="left" w:pos="360"/>
          <w:tab w:val="left" w:pos="540"/>
        </w:tabs>
        <w:spacing w:line="360" w:lineRule="auto"/>
        <w:rPr>
          <w:rFonts w:ascii="宋体" w:hAnsi="宋体" w:cs="宋体"/>
          <w:szCs w:val="21"/>
        </w:rPr>
      </w:pPr>
      <w:r>
        <w:rPr>
          <w:rFonts w:hint="eastAsia" w:ascii="宋体" w:hAnsi="宋体" w:cs="宋体"/>
          <w:szCs w:val="21"/>
        </w:rPr>
        <w:t>表2 集中式数据库需求参数详情</w:t>
      </w:r>
    </w:p>
    <w:tbl>
      <w:tblPr>
        <w:tblStyle w:val="15"/>
        <w:tblW w:w="12753" w:type="dxa"/>
        <w:tblInd w:w="113" w:type="dxa"/>
        <w:tblLayout w:type="autofit"/>
        <w:tblCellMar>
          <w:top w:w="0" w:type="dxa"/>
          <w:left w:w="108" w:type="dxa"/>
          <w:bottom w:w="0" w:type="dxa"/>
          <w:right w:w="108" w:type="dxa"/>
        </w:tblCellMar>
      </w:tblPr>
      <w:tblGrid>
        <w:gridCol w:w="500"/>
        <w:gridCol w:w="1100"/>
        <w:gridCol w:w="1100"/>
        <w:gridCol w:w="1100"/>
        <w:gridCol w:w="8953"/>
      </w:tblGrid>
      <w:tr w14:paraId="79A4D5A9">
        <w:tblPrEx>
          <w:tblCellMar>
            <w:top w:w="0" w:type="dxa"/>
            <w:left w:w="108" w:type="dxa"/>
            <w:bottom w:w="0" w:type="dxa"/>
            <w:right w:w="108" w:type="dxa"/>
          </w:tblCellMar>
        </w:tblPrEx>
        <w:trPr>
          <w:trHeight w:val="283" w:hRule="atLeast"/>
        </w:trPr>
        <w:tc>
          <w:tcPr>
            <w:tcW w:w="500" w:type="dxa"/>
            <w:tcBorders>
              <w:top w:val="single" w:color="000000" w:sz="4" w:space="0"/>
              <w:left w:val="single" w:color="000000" w:sz="4" w:space="0"/>
              <w:bottom w:val="single" w:color="000000" w:sz="4" w:space="0"/>
              <w:right w:val="single" w:color="000000" w:sz="4" w:space="0"/>
            </w:tcBorders>
            <w:vAlign w:val="center"/>
          </w:tcPr>
          <w:p w14:paraId="7AA7D612">
            <w:pPr>
              <w:widowControl/>
              <w:jc w:val="center"/>
              <w:rPr>
                <w:rFonts w:ascii="宋体" w:hAnsi="宋体" w:cs="Arial"/>
                <w:b/>
                <w:bCs/>
                <w:kern w:val="0"/>
                <w:sz w:val="18"/>
                <w:szCs w:val="18"/>
              </w:rPr>
            </w:pPr>
            <w:r>
              <w:rPr>
                <w:rFonts w:ascii="宋体" w:hAnsi="宋体" w:cs="Arial"/>
                <w:b/>
                <w:bCs/>
                <w:kern w:val="0"/>
                <w:sz w:val="18"/>
                <w:szCs w:val="18"/>
              </w:rPr>
              <w:t>序号</w:t>
            </w:r>
          </w:p>
        </w:tc>
        <w:tc>
          <w:tcPr>
            <w:tcW w:w="1100" w:type="dxa"/>
            <w:tcBorders>
              <w:top w:val="single" w:color="000000" w:sz="4" w:space="0"/>
              <w:left w:val="nil"/>
              <w:bottom w:val="single" w:color="000000" w:sz="4" w:space="0"/>
              <w:right w:val="single" w:color="000000" w:sz="4" w:space="0"/>
            </w:tcBorders>
            <w:vAlign w:val="center"/>
          </w:tcPr>
          <w:p w14:paraId="13CC6CC6">
            <w:pPr>
              <w:widowControl/>
              <w:jc w:val="center"/>
              <w:rPr>
                <w:rFonts w:ascii="宋体" w:hAnsi="宋体" w:cs="Arial"/>
                <w:b/>
                <w:bCs/>
                <w:kern w:val="0"/>
                <w:sz w:val="18"/>
                <w:szCs w:val="18"/>
              </w:rPr>
            </w:pPr>
            <w:r>
              <w:rPr>
                <w:rFonts w:ascii="宋体" w:hAnsi="宋体" w:cs="Arial"/>
                <w:b/>
                <w:bCs/>
                <w:kern w:val="0"/>
                <w:sz w:val="18"/>
                <w:szCs w:val="18"/>
              </w:rPr>
              <w:t>指标分类</w:t>
            </w:r>
          </w:p>
        </w:tc>
        <w:tc>
          <w:tcPr>
            <w:tcW w:w="1100" w:type="dxa"/>
            <w:tcBorders>
              <w:top w:val="single" w:color="000000" w:sz="4" w:space="0"/>
              <w:left w:val="nil"/>
              <w:bottom w:val="single" w:color="000000" w:sz="4" w:space="0"/>
              <w:right w:val="single" w:color="000000" w:sz="4" w:space="0"/>
            </w:tcBorders>
            <w:vAlign w:val="center"/>
          </w:tcPr>
          <w:p w14:paraId="2475A1B4">
            <w:pPr>
              <w:widowControl/>
              <w:jc w:val="center"/>
              <w:rPr>
                <w:rFonts w:ascii="宋体" w:hAnsi="宋体" w:cs="Arial"/>
                <w:b/>
                <w:bCs/>
                <w:kern w:val="0"/>
                <w:sz w:val="18"/>
                <w:szCs w:val="18"/>
              </w:rPr>
            </w:pPr>
            <w:r>
              <w:rPr>
                <w:rFonts w:ascii="宋体" w:hAnsi="宋体" w:cs="Arial"/>
                <w:b/>
                <w:bCs/>
                <w:kern w:val="0"/>
                <w:sz w:val="18"/>
                <w:szCs w:val="18"/>
              </w:rPr>
              <w:t>一级指标</w:t>
            </w:r>
          </w:p>
        </w:tc>
        <w:tc>
          <w:tcPr>
            <w:tcW w:w="1100" w:type="dxa"/>
            <w:tcBorders>
              <w:top w:val="single" w:color="000000" w:sz="4" w:space="0"/>
              <w:left w:val="nil"/>
              <w:bottom w:val="single" w:color="000000" w:sz="4" w:space="0"/>
              <w:right w:val="single" w:color="000000" w:sz="4" w:space="0"/>
            </w:tcBorders>
            <w:vAlign w:val="center"/>
          </w:tcPr>
          <w:p w14:paraId="4FC92B97">
            <w:pPr>
              <w:widowControl/>
              <w:jc w:val="center"/>
              <w:rPr>
                <w:rFonts w:ascii="宋体" w:hAnsi="宋体" w:cs="Arial"/>
                <w:b/>
                <w:bCs/>
                <w:kern w:val="0"/>
                <w:sz w:val="18"/>
                <w:szCs w:val="18"/>
              </w:rPr>
            </w:pPr>
            <w:r>
              <w:rPr>
                <w:rFonts w:ascii="宋体" w:hAnsi="宋体" w:cs="Arial"/>
                <w:b/>
                <w:bCs/>
                <w:kern w:val="0"/>
                <w:sz w:val="18"/>
                <w:szCs w:val="18"/>
              </w:rPr>
              <w:t>二级指标</w:t>
            </w:r>
          </w:p>
        </w:tc>
        <w:tc>
          <w:tcPr>
            <w:tcW w:w="8953" w:type="dxa"/>
            <w:tcBorders>
              <w:top w:val="single" w:color="auto" w:sz="4" w:space="0"/>
              <w:left w:val="single" w:color="auto" w:sz="4" w:space="0"/>
              <w:bottom w:val="single" w:color="auto" w:sz="4" w:space="0"/>
              <w:right w:val="single" w:color="auto" w:sz="4" w:space="0"/>
            </w:tcBorders>
            <w:vAlign w:val="center"/>
          </w:tcPr>
          <w:p w14:paraId="739A1858">
            <w:pPr>
              <w:widowControl/>
              <w:jc w:val="center"/>
              <w:rPr>
                <w:rFonts w:ascii="宋体" w:hAnsi="宋体" w:cs="Arial"/>
                <w:b/>
                <w:bCs/>
                <w:kern w:val="0"/>
                <w:sz w:val="18"/>
                <w:szCs w:val="18"/>
              </w:rPr>
            </w:pPr>
            <w:r>
              <w:rPr>
                <w:rFonts w:ascii="宋体" w:hAnsi="宋体" w:cs="Arial"/>
                <w:b/>
                <w:bCs/>
                <w:kern w:val="0"/>
                <w:sz w:val="18"/>
                <w:szCs w:val="18"/>
              </w:rPr>
              <w:t>采购人技术要求</w:t>
            </w:r>
          </w:p>
        </w:tc>
      </w:tr>
      <w:tr w14:paraId="7E08E5C2">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43A5B19A">
            <w:pPr>
              <w:widowControl/>
              <w:jc w:val="center"/>
              <w:rPr>
                <w:rFonts w:ascii="宋体" w:hAnsi="宋体" w:cs="Arial"/>
                <w:kern w:val="0"/>
                <w:sz w:val="18"/>
                <w:szCs w:val="18"/>
              </w:rPr>
            </w:pPr>
            <w:r>
              <w:rPr>
                <w:rFonts w:ascii="宋体" w:hAnsi="宋体" w:cs="Arial"/>
                <w:kern w:val="0"/>
                <w:sz w:val="18"/>
                <w:szCs w:val="18"/>
              </w:rPr>
              <w:t xml:space="preserve">1 </w:t>
            </w:r>
          </w:p>
        </w:tc>
        <w:tc>
          <w:tcPr>
            <w:tcW w:w="1100" w:type="dxa"/>
            <w:tcBorders>
              <w:top w:val="nil"/>
              <w:left w:val="nil"/>
              <w:bottom w:val="single" w:color="000000" w:sz="4" w:space="0"/>
              <w:right w:val="single" w:color="000000" w:sz="4" w:space="0"/>
            </w:tcBorders>
            <w:vAlign w:val="center"/>
          </w:tcPr>
          <w:p w14:paraId="469B2880">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restart"/>
            <w:tcBorders>
              <w:top w:val="nil"/>
              <w:left w:val="single" w:color="000000" w:sz="4" w:space="0"/>
              <w:bottom w:val="single" w:color="000000" w:sz="4" w:space="0"/>
              <w:right w:val="single" w:color="000000" w:sz="4" w:space="0"/>
            </w:tcBorders>
            <w:vAlign w:val="center"/>
          </w:tcPr>
          <w:p w14:paraId="496DA23F">
            <w:pPr>
              <w:widowControl/>
              <w:jc w:val="center"/>
              <w:rPr>
                <w:rFonts w:ascii="宋体" w:hAnsi="宋体" w:cs="Arial"/>
                <w:kern w:val="0"/>
                <w:sz w:val="18"/>
                <w:szCs w:val="18"/>
              </w:rPr>
            </w:pPr>
            <w:r>
              <w:rPr>
                <w:rFonts w:ascii="宋体" w:hAnsi="宋体" w:cs="Arial"/>
                <w:kern w:val="0"/>
                <w:sz w:val="18"/>
                <w:szCs w:val="18"/>
              </w:rPr>
              <w:t>安装与升级</w:t>
            </w:r>
          </w:p>
        </w:tc>
        <w:tc>
          <w:tcPr>
            <w:tcW w:w="1100" w:type="dxa"/>
            <w:tcBorders>
              <w:top w:val="nil"/>
              <w:left w:val="nil"/>
              <w:bottom w:val="single" w:color="000000" w:sz="4" w:space="0"/>
              <w:right w:val="single" w:color="000000" w:sz="4" w:space="0"/>
            </w:tcBorders>
            <w:vAlign w:val="center"/>
          </w:tcPr>
          <w:p w14:paraId="0DF62C5F">
            <w:pPr>
              <w:widowControl/>
              <w:jc w:val="center"/>
              <w:rPr>
                <w:rFonts w:ascii="宋体" w:hAnsi="宋体" w:cs="Arial"/>
                <w:kern w:val="0"/>
                <w:sz w:val="18"/>
                <w:szCs w:val="18"/>
              </w:rPr>
            </w:pPr>
            <w:r>
              <w:rPr>
                <w:rFonts w:ascii="宋体" w:hAnsi="宋体" w:cs="Arial"/>
                <w:kern w:val="0"/>
                <w:sz w:val="18"/>
                <w:szCs w:val="18"/>
              </w:rPr>
              <w:t>★数据库安装</w:t>
            </w:r>
          </w:p>
        </w:tc>
        <w:tc>
          <w:tcPr>
            <w:tcW w:w="8953" w:type="dxa"/>
            <w:tcBorders>
              <w:top w:val="single" w:color="000000" w:sz="4" w:space="0"/>
              <w:left w:val="nil"/>
              <w:bottom w:val="single" w:color="000000" w:sz="4" w:space="0"/>
              <w:right w:val="single" w:color="000000" w:sz="4" w:space="0"/>
            </w:tcBorders>
            <w:vAlign w:val="center"/>
          </w:tcPr>
          <w:p w14:paraId="3810F80D">
            <w:pPr>
              <w:widowControl/>
              <w:jc w:val="left"/>
              <w:rPr>
                <w:rFonts w:ascii="宋体" w:hAnsi="宋体" w:cs="Arial"/>
                <w:kern w:val="0"/>
                <w:sz w:val="18"/>
                <w:szCs w:val="18"/>
              </w:rPr>
            </w:pPr>
            <w:r>
              <w:rPr>
                <w:rFonts w:ascii="宋体" w:hAnsi="宋体" w:cs="Arial"/>
                <w:kern w:val="0"/>
                <w:sz w:val="18"/>
                <w:szCs w:val="18"/>
              </w:rPr>
              <w:t xml:space="preserve"> a) 支持命令行或图形化的安装； b) 支持命令行或图形化的可配置安装能力； c) 依据安装环境提供相应的初始化参数配置值； d) 提供图形化软件组件管理向导工具</w:t>
            </w:r>
          </w:p>
        </w:tc>
      </w:tr>
      <w:tr w14:paraId="71C40B84">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366337EB">
            <w:pPr>
              <w:widowControl/>
              <w:jc w:val="center"/>
              <w:rPr>
                <w:rFonts w:ascii="宋体" w:hAnsi="宋体" w:cs="Arial"/>
                <w:kern w:val="0"/>
                <w:sz w:val="18"/>
                <w:szCs w:val="18"/>
              </w:rPr>
            </w:pPr>
            <w:r>
              <w:rPr>
                <w:rFonts w:ascii="宋体" w:hAnsi="宋体" w:cs="Arial"/>
                <w:kern w:val="0"/>
                <w:sz w:val="18"/>
                <w:szCs w:val="18"/>
              </w:rPr>
              <w:t xml:space="preserve">2 </w:t>
            </w:r>
          </w:p>
        </w:tc>
        <w:tc>
          <w:tcPr>
            <w:tcW w:w="1100" w:type="dxa"/>
            <w:tcBorders>
              <w:top w:val="nil"/>
              <w:left w:val="nil"/>
              <w:bottom w:val="single" w:color="000000" w:sz="4" w:space="0"/>
              <w:right w:val="single" w:color="000000" w:sz="4" w:space="0"/>
            </w:tcBorders>
            <w:vAlign w:val="center"/>
          </w:tcPr>
          <w:p w14:paraId="1764F057">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1664F567">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3A2721F2">
            <w:pPr>
              <w:widowControl/>
              <w:jc w:val="center"/>
              <w:rPr>
                <w:rFonts w:ascii="宋体" w:hAnsi="宋体" w:cs="Arial"/>
                <w:kern w:val="0"/>
                <w:sz w:val="18"/>
                <w:szCs w:val="18"/>
              </w:rPr>
            </w:pPr>
            <w:r>
              <w:rPr>
                <w:rFonts w:ascii="宋体" w:hAnsi="宋体" w:cs="Arial"/>
                <w:kern w:val="0"/>
                <w:sz w:val="18"/>
                <w:szCs w:val="18"/>
              </w:rPr>
              <w:t>★数据库重启</w:t>
            </w:r>
          </w:p>
        </w:tc>
        <w:tc>
          <w:tcPr>
            <w:tcW w:w="8953" w:type="dxa"/>
            <w:tcBorders>
              <w:top w:val="nil"/>
              <w:left w:val="nil"/>
              <w:bottom w:val="single" w:color="000000" w:sz="4" w:space="0"/>
              <w:right w:val="single" w:color="000000" w:sz="4" w:space="0"/>
            </w:tcBorders>
            <w:vAlign w:val="center"/>
          </w:tcPr>
          <w:p w14:paraId="0A4E1D3B">
            <w:pPr>
              <w:widowControl/>
              <w:jc w:val="left"/>
              <w:rPr>
                <w:rFonts w:ascii="宋体" w:hAnsi="宋体" w:cs="Arial"/>
                <w:kern w:val="0"/>
                <w:sz w:val="18"/>
                <w:szCs w:val="18"/>
              </w:rPr>
            </w:pPr>
            <w:r>
              <w:rPr>
                <w:rFonts w:ascii="宋体" w:hAnsi="宋体" w:cs="Arial"/>
                <w:kern w:val="0"/>
                <w:sz w:val="18"/>
                <w:szCs w:val="18"/>
              </w:rPr>
              <w:t xml:space="preserve"> a) 支持命令行或图形化的方式关闭和启动服务； b) 关闭服务后，再启动服务，服务正常</w:t>
            </w:r>
          </w:p>
        </w:tc>
      </w:tr>
      <w:tr w14:paraId="5060E770">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08FAB1CE">
            <w:pPr>
              <w:widowControl/>
              <w:jc w:val="center"/>
              <w:rPr>
                <w:rFonts w:ascii="宋体" w:hAnsi="宋体" w:cs="Arial"/>
                <w:kern w:val="0"/>
                <w:sz w:val="18"/>
                <w:szCs w:val="18"/>
              </w:rPr>
            </w:pPr>
            <w:r>
              <w:rPr>
                <w:rFonts w:ascii="宋体" w:hAnsi="宋体" w:cs="Arial"/>
                <w:kern w:val="0"/>
                <w:sz w:val="18"/>
                <w:szCs w:val="18"/>
              </w:rPr>
              <w:t xml:space="preserve">3 </w:t>
            </w:r>
          </w:p>
        </w:tc>
        <w:tc>
          <w:tcPr>
            <w:tcW w:w="1100" w:type="dxa"/>
            <w:tcBorders>
              <w:top w:val="nil"/>
              <w:left w:val="nil"/>
              <w:bottom w:val="single" w:color="000000" w:sz="4" w:space="0"/>
              <w:right w:val="single" w:color="000000" w:sz="4" w:space="0"/>
            </w:tcBorders>
            <w:vAlign w:val="center"/>
          </w:tcPr>
          <w:p w14:paraId="1483E037">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223D502F">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2539E960">
            <w:pPr>
              <w:widowControl/>
              <w:jc w:val="center"/>
              <w:rPr>
                <w:rFonts w:ascii="宋体" w:hAnsi="宋体" w:cs="Arial"/>
                <w:kern w:val="0"/>
                <w:sz w:val="18"/>
                <w:szCs w:val="18"/>
              </w:rPr>
            </w:pPr>
            <w:r>
              <w:rPr>
                <w:rFonts w:ascii="宋体" w:hAnsi="宋体" w:cs="Arial"/>
                <w:kern w:val="0"/>
                <w:sz w:val="18"/>
                <w:szCs w:val="18"/>
              </w:rPr>
              <w:t>★安装配置日志</w:t>
            </w:r>
          </w:p>
        </w:tc>
        <w:tc>
          <w:tcPr>
            <w:tcW w:w="8953" w:type="dxa"/>
            <w:tcBorders>
              <w:top w:val="nil"/>
              <w:left w:val="nil"/>
              <w:bottom w:val="single" w:color="000000" w:sz="4" w:space="0"/>
              <w:right w:val="single" w:color="000000" w:sz="4" w:space="0"/>
            </w:tcBorders>
            <w:vAlign w:val="center"/>
          </w:tcPr>
          <w:p w14:paraId="39BADA99">
            <w:pPr>
              <w:widowControl/>
              <w:jc w:val="left"/>
              <w:rPr>
                <w:rFonts w:ascii="宋体" w:hAnsi="宋体" w:cs="Arial"/>
                <w:kern w:val="0"/>
                <w:sz w:val="18"/>
                <w:szCs w:val="18"/>
              </w:rPr>
            </w:pPr>
            <w:r>
              <w:rPr>
                <w:rFonts w:ascii="宋体" w:hAnsi="宋体" w:cs="Arial"/>
                <w:kern w:val="0"/>
                <w:sz w:val="18"/>
                <w:szCs w:val="18"/>
              </w:rPr>
              <w:t xml:space="preserve"> a) 提供软件安装的日志记录功能； b) 记录的软件安装信息完整正确； c) 提供安装配置操作的日志记录功能； d) 记录的配置操作信息完整正确</w:t>
            </w:r>
          </w:p>
        </w:tc>
      </w:tr>
      <w:tr w14:paraId="119AFEBA">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309B94F2">
            <w:pPr>
              <w:widowControl/>
              <w:jc w:val="center"/>
              <w:rPr>
                <w:rFonts w:ascii="宋体" w:hAnsi="宋体" w:cs="Arial"/>
                <w:kern w:val="0"/>
                <w:sz w:val="18"/>
                <w:szCs w:val="18"/>
              </w:rPr>
            </w:pPr>
            <w:r>
              <w:rPr>
                <w:rFonts w:ascii="宋体" w:hAnsi="宋体" w:cs="Arial"/>
                <w:kern w:val="0"/>
                <w:sz w:val="18"/>
                <w:szCs w:val="18"/>
              </w:rPr>
              <w:t xml:space="preserve">4 </w:t>
            </w:r>
          </w:p>
        </w:tc>
        <w:tc>
          <w:tcPr>
            <w:tcW w:w="1100" w:type="dxa"/>
            <w:tcBorders>
              <w:top w:val="nil"/>
              <w:left w:val="nil"/>
              <w:bottom w:val="single" w:color="000000" w:sz="4" w:space="0"/>
              <w:right w:val="single" w:color="000000" w:sz="4" w:space="0"/>
            </w:tcBorders>
            <w:vAlign w:val="center"/>
          </w:tcPr>
          <w:p w14:paraId="5BADD8E9">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37674A0C">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10907B50">
            <w:pPr>
              <w:widowControl/>
              <w:jc w:val="center"/>
              <w:rPr>
                <w:rFonts w:ascii="宋体" w:hAnsi="宋体" w:cs="Arial"/>
                <w:kern w:val="0"/>
                <w:sz w:val="18"/>
                <w:szCs w:val="18"/>
              </w:rPr>
            </w:pPr>
            <w:r>
              <w:rPr>
                <w:rFonts w:ascii="宋体" w:hAnsi="宋体" w:cs="Arial"/>
                <w:kern w:val="0"/>
                <w:sz w:val="18"/>
                <w:szCs w:val="18"/>
              </w:rPr>
              <w:t>★升级维护</w:t>
            </w:r>
          </w:p>
        </w:tc>
        <w:tc>
          <w:tcPr>
            <w:tcW w:w="8953" w:type="dxa"/>
            <w:tcBorders>
              <w:top w:val="nil"/>
              <w:left w:val="nil"/>
              <w:bottom w:val="single" w:color="000000" w:sz="4" w:space="0"/>
              <w:right w:val="single" w:color="000000" w:sz="4" w:space="0"/>
            </w:tcBorders>
            <w:vAlign w:val="center"/>
          </w:tcPr>
          <w:p w14:paraId="11D77472">
            <w:pPr>
              <w:widowControl/>
              <w:jc w:val="left"/>
              <w:rPr>
                <w:rFonts w:ascii="宋体" w:hAnsi="宋体" w:cs="Arial"/>
                <w:kern w:val="0"/>
                <w:sz w:val="18"/>
                <w:szCs w:val="18"/>
              </w:rPr>
            </w:pPr>
            <w:r>
              <w:rPr>
                <w:rFonts w:ascii="宋体" w:hAnsi="宋体" w:cs="Arial"/>
                <w:kern w:val="0"/>
                <w:sz w:val="18"/>
                <w:szCs w:val="18"/>
              </w:rPr>
              <w:t xml:space="preserve"> a) 支持版本升级，保证版本间功能和数据的兼容性； b) 厂商提供当前版本与历史版本的差异说明文档，包含新版本对软件和硬件的支持情况</w:t>
            </w:r>
          </w:p>
        </w:tc>
      </w:tr>
      <w:tr w14:paraId="329D0BC8">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022AD9B9">
            <w:pPr>
              <w:widowControl/>
              <w:jc w:val="center"/>
              <w:rPr>
                <w:rFonts w:ascii="宋体" w:hAnsi="宋体" w:cs="Arial"/>
                <w:kern w:val="0"/>
                <w:sz w:val="18"/>
                <w:szCs w:val="18"/>
              </w:rPr>
            </w:pPr>
            <w:r>
              <w:rPr>
                <w:rFonts w:ascii="宋体" w:hAnsi="宋体" w:cs="Arial"/>
                <w:kern w:val="0"/>
                <w:sz w:val="18"/>
                <w:szCs w:val="18"/>
              </w:rPr>
              <w:t xml:space="preserve">5 </w:t>
            </w:r>
          </w:p>
        </w:tc>
        <w:tc>
          <w:tcPr>
            <w:tcW w:w="1100" w:type="dxa"/>
            <w:tcBorders>
              <w:top w:val="nil"/>
              <w:left w:val="nil"/>
              <w:bottom w:val="single" w:color="000000" w:sz="4" w:space="0"/>
              <w:right w:val="single" w:color="000000" w:sz="4" w:space="0"/>
            </w:tcBorders>
            <w:vAlign w:val="center"/>
          </w:tcPr>
          <w:p w14:paraId="40EF51DE">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38248C51">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6D27C1A9">
            <w:pPr>
              <w:widowControl/>
              <w:jc w:val="center"/>
              <w:rPr>
                <w:rFonts w:ascii="宋体" w:hAnsi="宋体" w:cs="Arial"/>
                <w:kern w:val="0"/>
                <w:sz w:val="18"/>
                <w:szCs w:val="18"/>
              </w:rPr>
            </w:pPr>
            <w:r>
              <w:rPr>
                <w:rFonts w:ascii="宋体" w:hAnsi="宋体" w:cs="Arial"/>
                <w:kern w:val="0"/>
                <w:sz w:val="18"/>
                <w:szCs w:val="18"/>
              </w:rPr>
              <w:t>安装和升级的兼容性</w:t>
            </w:r>
          </w:p>
        </w:tc>
        <w:tc>
          <w:tcPr>
            <w:tcW w:w="8953" w:type="dxa"/>
            <w:tcBorders>
              <w:top w:val="nil"/>
              <w:left w:val="nil"/>
              <w:bottom w:val="single" w:color="000000" w:sz="4" w:space="0"/>
              <w:right w:val="single" w:color="000000" w:sz="4" w:space="0"/>
            </w:tcBorders>
            <w:vAlign w:val="center"/>
          </w:tcPr>
          <w:p w14:paraId="293D601D">
            <w:pPr>
              <w:widowControl/>
              <w:jc w:val="left"/>
              <w:rPr>
                <w:rFonts w:ascii="宋体" w:hAnsi="宋体" w:cs="Arial"/>
                <w:kern w:val="0"/>
                <w:sz w:val="18"/>
                <w:szCs w:val="18"/>
              </w:rPr>
            </w:pPr>
            <w:r>
              <w:rPr>
                <w:rFonts w:ascii="宋体" w:hAnsi="宋体" w:cs="Arial"/>
                <w:kern w:val="0"/>
                <w:sz w:val="18"/>
                <w:szCs w:val="18"/>
              </w:rPr>
              <w:t>支持在不同 CPU 架构的节点上安装配置、升级，且安装配置、升级数据库的命令行或图形界面相同或相似</w:t>
            </w:r>
          </w:p>
        </w:tc>
      </w:tr>
      <w:tr w14:paraId="78D5C606">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4DD9C9ED">
            <w:pPr>
              <w:widowControl/>
              <w:jc w:val="center"/>
              <w:rPr>
                <w:rFonts w:ascii="宋体" w:hAnsi="宋体" w:cs="Arial"/>
                <w:kern w:val="0"/>
                <w:sz w:val="18"/>
                <w:szCs w:val="18"/>
              </w:rPr>
            </w:pPr>
            <w:r>
              <w:rPr>
                <w:rFonts w:ascii="宋体" w:hAnsi="宋体" w:cs="Arial"/>
                <w:kern w:val="0"/>
                <w:sz w:val="18"/>
                <w:szCs w:val="18"/>
              </w:rPr>
              <w:t xml:space="preserve">6 </w:t>
            </w:r>
          </w:p>
        </w:tc>
        <w:tc>
          <w:tcPr>
            <w:tcW w:w="1100" w:type="dxa"/>
            <w:tcBorders>
              <w:top w:val="nil"/>
              <w:left w:val="nil"/>
              <w:bottom w:val="single" w:color="000000" w:sz="4" w:space="0"/>
              <w:right w:val="single" w:color="000000" w:sz="4" w:space="0"/>
            </w:tcBorders>
            <w:vAlign w:val="center"/>
          </w:tcPr>
          <w:p w14:paraId="372473DF">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0C7E05A3">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59AAE69A">
            <w:pPr>
              <w:widowControl/>
              <w:jc w:val="center"/>
              <w:rPr>
                <w:rFonts w:ascii="宋体" w:hAnsi="宋体" w:cs="Arial"/>
                <w:kern w:val="0"/>
                <w:sz w:val="18"/>
                <w:szCs w:val="18"/>
              </w:rPr>
            </w:pPr>
            <w:r>
              <w:rPr>
                <w:rFonts w:ascii="宋体" w:hAnsi="宋体" w:cs="Arial"/>
                <w:kern w:val="0"/>
                <w:sz w:val="18"/>
                <w:szCs w:val="18"/>
              </w:rPr>
              <w:t>节点部署</w:t>
            </w:r>
          </w:p>
        </w:tc>
        <w:tc>
          <w:tcPr>
            <w:tcW w:w="8953" w:type="dxa"/>
            <w:tcBorders>
              <w:top w:val="nil"/>
              <w:left w:val="nil"/>
              <w:bottom w:val="single" w:color="000000" w:sz="4" w:space="0"/>
              <w:right w:val="single" w:color="000000" w:sz="4" w:space="0"/>
            </w:tcBorders>
            <w:vAlign w:val="center"/>
          </w:tcPr>
          <w:p w14:paraId="0C5D781E">
            <w:pPr>
              <w:widowControl/>
              <w:jc w:val="left"/>
              <w:rPr>
                <w:rFonts w:ascii="宋体" w:hAnsi="宋体" w:cs="Arial"/>
                <w:kern w:val="0"/>
                <w:sz w:val="18"/>
                <w:szCs w:val="18"/>
              </w:rPr>
            </w:pPr>
            <w:r>
              <w:rPr>
                <w:rFonts w:ascii="宋体" w:hAnsi="宋体" w:cs="Arial"/>
                <w:kern w:val="0"/>
                <w:sz w:val="18"/>
                <w:szCs w:val="18"/>
              </w:rPr>
              <w:t xml:space="preserve"> a) 支持节点安装配置； b) 支持通过单一节点发起并将数据库部署在多个节点上</w:t>
            </w:r>
          </w:p>
        </w:tc>
      </w:tr>
      <w:tr w14:paraId="4ADB1671">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3C1ADE0C">
            <w:pPr>
              <w:widowControl/>
              <w:jc w:val="center"/>
              <w:rPr>
                <w:rFonts w:ascii="宋体" w:hAnsi="宋体" w:cs="Arial"/>
                <w:kern w:val="0"/>
                <w:sz w:val="18"/>
                <w:szCs w:val="18"/>
              </w:rPr>
            </w:pPr>
            <w:r>
              <w:rPr>
                <w:rFonts w:ascii="宋体" w:hAnsi="宋体" w:cs="Arial"/>
                <w:kern w:val="0"/>
                <w:sz w:val="18"/>
                <w:szCs w:val="18"/>
              </w:rPr>
              <w:t xml:space="preserve">7 </w:t>
            </w:r>
          </w:p>
        </w:tc>
        <w:tc>
          <w:tcPr>
            <w:tcW w:w="1100" w:type="dxa"/>
            <w:tcBorders>
              <w:top w:val="nil"/>
              <w:left w:val="nil"/>
              <w:bottom w:val="single" w:color="000000" w:sz="4" w:space="0"/>
              <w:right w:val="single" w:color="000000" w:sz="4" w:space="0"/>
            </w:tcBorders>
            <w:vAlign w:val="center"/>
          </w:tcPr>
          <w:p w14:paraId="6DC55497">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restart"/>
            <w:tcBorders>
              <w:top w:val="nil"/>
              <w:left w:val="single" w:color="000000" w:sz="4" w:space="0"/>
              <w:bottom w:val="single" w:color="000000" w:sz="4" w:space="0"/>
              <w:right w:val="single" w:color="000000" w:sz="4" w:space="0"/>
            </w:tcBorders>
            <w:vAlign w:val="center"/>
          </w:tcPr>
          <w:p w14:paraId="464B03B7">
            <w:pPr>
              <w:widowControl/>
              <w:jc w:val="center"/>
              <w:rPr>
                <w:rFonts w:ascii="宋体" w:hAnsi="宋体" w:cs="Arial"/>
                <w:kern w:val="0"/>
                <w:sz w:val="18"/>
                <w:szCs w:val="18"/>
              </w:rPr>
            </w:pPr>
            <w:r>
              <w:rPr>
                <w:rFonts w:ascii="宋体" w:hAnsi="宋体" w:cs="Arial"/>
                <w:kern w:val="0"/>
                <w:sz w:val="18"/>
                <w:szCs w:val="18"/>
              </w:rPr>
              <w:t>数据配置</w:t>
            </w:r>
          </w:p>
        </w:tc>
        <w:tc>
          <w:tcPr>
            <w:tcW w:w="1100" w:type="dxa"/>
            <w:tcBorders>
              <w:top w:val="nil"/>
              <w:left w:val="nil"/>
              <w:bottom w:val="single" w:color="000000" w:sz="4" w:space="0"/>
              <w:right w:val="single" w:color="000000" w:sz="4" w:space="0"/>
            </w:tcBorders>
            <w:vAlign w:val="center"/>
          </w:tcPr>
          <w:p w14:paraId="46DA5BD2">
            <w:pPr>
              <w:widowControl/>
              <w:jc w:val="center"/>
              <w:rPr>
                <w:rFonts w:ascii="宋体" w:hAnsi="宋体" w:cs="Arial"/>
                <w:kern w:val="0"/>
                <w:sz w:val="18"/>
                <w:szCs w:val="18"/>
              </w:rPr>
            </w:pPr>
            <w:r>
              <w:rPr>
                <w:rFonts w:ascii="宋体" w:hAnsi="宋体" w:cs="Arial"/>
                <w:kern w:val="0"/>
                <w:sz w:val="18"/>
                <w:szCs w:val="18"/>
              </w:rPr>
              <w:t>★参数配置</w:t>
            </w:r>
          </w:p>
        </w:tc>
        <w:tc>
          <w:tcPr>
            <w:tcW w:w="8953" w:type="dxa"/>
            <w:tcBorders>
              <w:top w:val="nil"/>
              <w:left w:val="nil"/>
              <w:bottom w:val="single" w:color="000000" w:sz="4" w:space="0"/>
              <w:right w:val="single" w:color="000000" w:sz="4" w:space="0"/>
            </w:tcBorders>
            <w:vAlign w:val="center"/>
          </w:tcPr>
          <w:p w14:paraId="4201670C">
            <w:pPr>
              <w:widowControl/>
              <w:jc w:val="left"/>
              <w:rPr>
                <w:rFonts w:ascii="宋体" w:hAnsi="宋体" w:cs="Arial"/>
                <w:kern w:val="0"/>
                <w:sz w:val="18"/>
                <w:szCs w:val="18"/>
              </w:rPr>
            </w:pPr>
            <w:r>
              <w:rPr>
                <w:rFonts w:ascii="宋体" w:hAnsi="宋体" w:cs="Arial"/>
                <w:kern w:val="0"/>
                <w:sz w:val="18"/>
                <w:szCs w:val="18"/>
              </w:rPr>
              <w:t xml:space="preserve"> a) 依据工作负载和运行环境，提供配置参数修改的能力 b) 修改数据库配置参数后，配置参数立即生效或数据库重新启动生效，立即生效的配置参数和需要数据库重新启动方可生效的配置参数在相关文档中明确</w:t>
            </w:r>
          </w:p>
        </w:tc>
      </w:tr>
      <w:tr w14:paraId="345CB10A">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51F8DA25">
            <w:pPr>
              <w:widowControl/>
              <w:jc w:val="center"/>
              <w:rPr>
                <w:rFonts w:ascii="宋体" w:hAnsi="宋体" w:cs="Arial"/>
                <w:kern w:val="0"/>
                <w:sz w:val="18"/>
                <w:szCs w:val="18"/>
              </w:rPr>
            </w:pPr>
            <w:r>
              <w:rPr>
                <w:rFonts w:ascii="宋体" w:hAnsi="宋体" w:cs="Arial"/>
                <w:kern w:val="0"/>
                <w:sz w:val="18"/>
                <w:szCs w:val="18"/>
              </w:rPr>
              <w:t xml:space="preserve">8 </w:t>
            </w:r>
          </w:p>
        </w:tc>
        <w:tc>
          <w:tcPr>
            <w:tcW w:w="1100" w:type="dxa"/>
            <w:tcBorders>
              <w:top w:val="nil"/>
              <w:left w:val="nil"/>
              <w:bottom w:val="single" w:color="000000" w:sz="4" w:space="0"/>
              <w:right w:val="single" w:color="000000" w:sz="4" w:space="0"/>
            </w:tcBorders>
            <w:vAlign w:val="center"/>
          </w:tcPr>
          <w:p w14:paraId="52D5A943">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69CB57CA">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38F3C22A">
            <w:pPr>
              <w:widowControl/>
              <w:jc w:val="center"/>
              <w:rPr>
                <w:rFonts w:ascii="宋体" w:hAnsi="宋体" w:cs="Arial"/>
                <w:kern w:val="0"/>
                <w:sz w:val="18"/>
                <w:szCs w:val="18"/>
              </w:rPr>
            </w:pPr>
            <w:r>
              <w:rPr>
                <w:rFonts w:ascii="宋体" w:hAnsi="宋体" w:cs="Arial"/>
                <w:kern w:val="0"/>
                <w:sz w:val="18"/>
                <w:szCs w:val="18"/>
              </w:rPr>
              <w:t>存储配置</w:t>
            </w:r>
          </w:p>
        </w:tc>
        <w:tc>
          <w:tcPr>
            <w:tcW w:w="8953" w:type="dxa"/>
            <w:tcBorders>
              <w:top w:val="nil"/>
              <w:left w:val="nil"/>
              <w:bottom w:val="single" w:color="000000" w:sz="4" w:space="0"/>
              <w:right w:val="single" w:color="000000" w:sz="4" w:space="0"/>
            </w:tcBorders>
            <w:vAlign w:val="center"/>
          </w:tcPr>
          <w:p w14:paraId="7A6CA0AB">
            <w:pPr>
              <w:widowControl/>
              <w:jc w:val="left"/>
              <w:rPr>
                <w:rFonts w:ascii="宋体" w:hAnsi="宋体" w:cs="Arial"/>
                <w:kern w:val="0"/>
                <w:sz w:val="18"/>
                <w:szCs w:val="18"/>
              </w:rPr>
            </w:pPr>
            <w:r>
              <w:rPr>
                <w:rFonts w:ascii="宋体" w:hAnsi="宋体" w:cs="Arial"/>
                <w:kern w:val="0"/>
                <w:sz w:val="18"/>
                <w:szCs w:val="18"/>
              </w:rPr>
              <w:t xml:space="preserve"> a) 提供数据库级物理存储位置、逻辑存储参数配置功能； b) 在数据库初始化阶段，提供数据库物理读写块大小的配置功能； c) 提供数据库存储对象空间使用参数的配置功能； d) 提供索引数据存储参数管理功能</w:t>
            </w:r>
          </w:p>
        </w:tc>
      </w:tr>
      <w:tr w14:paraId="682163BF">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63009C48">
            <w:pPr>
              <w:widowControl/>
              <w:jc w:val="center"/>
              <w:rPr>
                <w:rFonts w:ascii="宋体" w:hAnsi="宋体" w:cs="Arial"/>
                <w:kern w:val="0"/>
                <w:sz w:val="18"/>
                <w:szCs w:val="18"/>
              </w:rPr>
            </w:pPr>
            <w:r>
              <w:rPr>
                <w:rFonts w:ascii="宋体" w:hAnsi="宋体" w:cs="Arial"/>
                <w:kern w:val="0"/>
                <w:sz w:val="18"/>
                <w:szCs w:val="18"/>
              </w:rPr>
              <w:t xml:space="preserve">9 </w:t>
            </w:r>
          </w:p>
        </w:tc>
        <w:tc>
          <w:tcPr>
            <w:tcW w:w="1100" w:type="dxa"/>
            <w:tcBorders>
              <w:top w:val="nil"/>
              <w:left w:val="nil"/>
              <w:bottom w:val="single" w:color="000000" w:sz="4" w:space="0"/>
              <w:right w:val="single" w:color="000000" w:sz="4" w:space="0"/>
            </w:tcBorders>
            <w:vAlign w:val="center"/>
          </w:tcPr>
          <w:p w14:paraId="29785338">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081D55C0">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686F6863">
            <w:pPr>
              <w:widowControl/>
              <w:jc w:val="center"/>
              <w:rPr>
                <w:rFonts w:ascii="宋体" w:hAnsi="宋体" w:cs="Arial"/>
                <w:kern w:val="0"/>
                <w:sz w:val="18"/>
                <w:szCs w:val="18"/>
              </w:rPr>
            </w:pPr>
            <w:r>
              <w:rPr>
                <w:rFonts w:ascii="宋体" w:hAnsi="宋体" w:cs="Arial"/>
                <w:kern w:val="0"/>
                <w:sz w:val="18"/>
                <w:szCs w:val="18"/>
              </w:rPr>
              <w:t>内存配置</w:t>
            </w:r>
          </w:p>
        </w:tc>
        <w:tc>
          <w:tcPr>
            <w:tcW w:w="8953" w:type="dxa"/>
            <w:tcBorders>
              <w:top w:val="nil"/>
              <w:left w:val="nil"/>
              <w:bottom w:val="single" w:color="000000" w:sz="4" w:space="0"/>
              <w:right w:val="single" w:color="000000" w:sz="4" w:space="0"/>
            </w:tcBorders>
            <w:vAlign w:val="center"/>
          </w:tcPr>
          <w:p w14:paraId="15047C4D">
            <w:pPr>
              <w:widowControl/>
              <w:jc w:val="left"/>
              <w:rPr>
                <w:rFonts w:ascii="宋体" w:hAnsi="宋体" w:cs="Arial"/>
                <w:kern w:val="0"/>
                <w:sz w:val="18"/>
                <w:szCs w:val="18"/>
              </w:rPr>
            </w:pPr>
            <w:r>
              <w:rPr>
                <w:rFonts w:ascii="宋体" w:hAnsi="宋体" w:cs="Arial"/>
                <w:kern w:val="0"/>
                <w:sz w:val="18"/>
                <w:szCs w:val="18"/>
              </w:rPr>
              <w:t xml:space="preserve"> a) 提供数据库内存规划和配置建议； b) 依据物理内存规划数据库可用内存； c) 依据可用内存或负载情况，自动设置或向用户建议不同数据缓存区大小</w:t>
            </w:r>
          </w:p>
        </w:tc>
      </w:tr>
      <w:tr w14:paraId="70F31AB0">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63FC850E">
            <w:pPr>
              <w:widowControl/>
              <w:jc w:val="center"/>
              <w:rPr>
                <w:rFonts w:ascii="宋体" w:hAnsi="宋体" w:cs="Arial"/>
                <w:kern w:val="0"/>
                <w:sz w:val="18"/>
                <w:szCs w:val="18"/>
              </w:rPr>
            </w:pPr>
            <w:r>
              <w:rPr>
                <w:rFonts w:ascii="宋体" w:hAnsi="宋体" w:cs="Arial"/>
                <w:kern w:val="0"/>
                <w:sz w:val="18"/>
                <w:szCs w:val="18"/>
              </w:rPr>
              <w:t xml:space="preserve">10 </w:t>
            </w:r>
          </w:p>
        </w:tc>
        <w:tc>
          <w:tcPr>
            <w:tcW w:w="1100" w:type="dxa"/>
            <w:tcBorders>
              <w:top w:val="nil"/>
              <w:left w:val="nil"/>
              <w:bottom w:val="single" w:color="000000" w:sz="4" w:space="0"/>
              <w:right w:val="single" w:color="000000" w:sz="4" w:space="0"/>
            </w:tcBorders>
            <w:vAlign w:val="center"/>
          </w:tcPr>
          <w:p w14:paraId="69894ECA">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tcBorders>
              <w:top w:val="nil"/>
              <w:left w:val="nil"/>
              <w:bottom w:val="single" w:color="000000" w:sz="4" w:space="0"/>
              <w:right w:val="single" w:color="000000" w:sz="4" w:space="0"/>
            </w:tcBorders>
            <w:vAlign w:val="center"/>
          </w:tcPr>
          <w:p w14:paraId="53A07A04">
            <w:pPr>
              <w:widowControl/>
              <w:jc w:val="center"/>
              <w:rPr>
                <w:rFonts w:ascii="宋体" w:hAnsi="宋体" w:cs="Arial"/>
                <w:kern w:val="0"/>
                <w:sz w:val="18"/>
                <w:szCs w:val="18"/>
              </w:rPr>
            </w:pPr>
            <w:r>
              <w:rPr>
                <w:rFonts w:ascii="宋体" w:hAnsi="宋体" w:cs="Arial"/>
                <w:kern w:val="0"/>
                <w:sz w:val="18"/>
                <w:szCs w:val="18"/>
              </w:rPr>
              <w:t>SQL 功能</w:t>
            </w:r>
          </w:p>
        </w:tc>
        <w:tc>
          <w:tcPr>
            <w:tcW w:w="1100" w:type="dxa"/>
            <w:tcBorders>
              <w:top w:val="nil"/>
              <w:left w:val="nil"/>
              <w:bottom w:val="single" w:color="000000" w:sz="4" w:space="0"/>
              <w:right w:val="single" w:color="000000" w:sz="4" w:space="0"/>
            </w:tcBorders>
            <w:vAlign w:val="center"/>
          </w:tcPr>
          <w:p w14:paraId="4E75D51A">
            <w:pPr>
              <w:widowControl/>
              <w:jc w:val="center"/>
              <w:rPr>
                <w:rFonts w:ascii="宋体" w:hAnsi="宋体" w:cs="Arial"/>
                <w:kern w:val="0"/>
                <w:sz w:val="18"/>
                <w:szCs w:val="18"/>
              </w:rPr>
            </w:pPr>
            <w:r>
              <w:rPr>
                <w:rFonts w:ascii="宋体" w:hAnsi="宋体" w:cs="Arial"/>
                <w:kern w:val="0"/>
                <w:sz w:val="18"/>
                <w:szCs w:val="18"/>
              </w:rPr>
              <w:t>★基础数据类型</w:t>
            </w:r>
          </w:p>
        </w:tc>
        <w:tc>
          <w:tcPr>
            <w:tcW w:w="8953" w:type="dxa"/>
            <w:tcBorders>
              <w:top w:val="nil"/>
              <w:left w:val="nil"/>
              <w:bottom w:val="single" w:color="000000" w:sz="4" w:space="0"/>
              <w:right w:val="single" w:color="000000" w:sz="4" w:space="0"/>
            </w:tcBorders>
            <w:vAlign w:val="center"/>
          </w:tcPr>
          <w:p w14:paraId="197D24A2">
            <w:pPr>
              <w:widowControl/>
              <w:jc w:val="left"/>
              <w:rPr>
                <w:rFonts w:ascii="宋体" w:hAnsi="宋体" w:cs="Arial"/>
                <w:kern w:val="0"/>
                <w:sz w:val="18"/>
                <w:szCs w:val="18"/>
              </w:rPr>
            </w:pPr>
            <w:r>
              <w:rPr>
                <w:rFonts w:ascii="宋体" w:hAnsi="宋体" w:cs="Arial"/>
                <w:kern w:val="0"/>
                <w:sz w:val="18"/>
                <w:szCs w:val="18"/>
              </w:rPr>
              <w:t xml:space="preserve"> a) 支持数值类型； b) 支持字符类型； c) 支持二进制类型； d) 支持日期和时间类型； e) 支持布尔类型； f) 支持（大）文本类型； g) 支持大对象类型</w:t>
            </w:r>
          </w:p>
        </w:tc>
      </w:tr>
      <w:tr w14:paraId="6BD85F4D">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3953C8D9">
            <w:pPr>
              <w:widowControl/>
              <w:jc w:val="center"/>
              <w:rPr>
                <w:rFonts w:ascii="宋体" w:hAnsi="宋体" w:cs="Arial"/>
                <w:kern w:val="0"/>
                <w:sz w:val="18"/>
                <w:szCs w:val="18"/>
              </w:rPr>
            </w:pPr>
            <w:r>
              <w:rPr>
                <w:rFonts w:ascii="宋体" w:hAnsi="宋体" w:cs="Arial"/>
                <w:kern w:val="0"/>
                <w:sz w:val="18"/>
                <w:szCs w:val="18"/>
              </w:rPr>
              <w:t xml:space="preserve">11 </w:t>
            </w:r>
          </w:p>
        </w:tc>
        <w:tc>
          <w:tcPr>
            <w:tcW w:w="1100" w:type="dxa"/>
            <w:tcBorders>
              <w:top w:val="nil"/>
              <w:left w:val="nil"/>
              <w:bottom w:val="single" w:color="000000" w:sz="4" w:space="0"/>
              <w:right w:val="single" w:color="000000" w:sz="4" w:space="0"/>
            </w:tcBorders>
            <w:vAlign w:val="center"/>
          </w:tcPr>
          <w:p w14:paraId="5E4D10DC">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restart"/>
            <w:tcBorders>
              <w:top w:val="nil"/>
              <w:left w:val="single" w:color="000000" w:sz="4" w:space="0"/>
              <w:bottom w:val="single" w:color="000000" w:sz="4" w:space="0"/>
              <w:right w:val="single" w:color="000000" w:sz="4" w:space="0"/>
            </w:tcBorders>
            <w:vAlign w:val="center"/>
          </w:tcPr>
          <w:p w14:paraId="4D8CB491">
            <w:pPr>
              <w:widowControl/>
              <w:jc w:val="center"/>
              <w:rPr>
                <w:rFonts w:ascii="宋体" w:hAnsi="宋体" w:cs="Arial"/>
                <w:kern w:val="0"/>
                <w:sz w:val="18"/>
                <w:szCs w:val="18"/>
              </w:rPr>
            </w:pPr>
            <w:r>
              <w:rPr>
                <w:rFonts w:ascii="宋体" w:hAnsi="宋体" w:cs="Arial"/>
                <w:kern w:val="0"/>
                <w:sz w:val="18"/>
                <w:szCs w:val="18"/>
              </w:rPr>
              <w:t>SQL 功能</w:t>
            </w:r>
          </w:p>
        </w:tc>
        <w:tc>
          <w:tcPr>
            <w:tcW w:w="1100" w:type="dxa"/>
            <w:tcBorders>
              <w:top w:val="nil"/>
              <w:left w:val="nil"/>
              <w:bottom w:val="single" w:color="000000" w:sz="4" w:space="0"/>
              <w:right w:val="single" w:color="000000" w:sz="4" w:space="0"/>
            </w:tcBorders>
            <w:vAlign w:val="center"/>
          </w:tcPr>
          <w:p w14:paraId="29F8070D">
            <w:pPr>
              <w:widowControl/>
              <w:jc w:val="center"/>
              <w:rPr>
                <w:rFonts w:ascii="宋体" w:hAnsi="宋体" w:cs="Arial"/>
                <w:kern w:val="0"/>
                <w:sz w:val="18"/>
                <w:szCs w:val="18"/>
              </w:rPr>
            </w:pPr>
            <w:r>
              <w:rPr>
                <w:rFonts w:ascii="宋体" w:hAnsi="宋体" w:cs="Arial"/>
                <w:kern w:val="0"/>
                <w:sz w:val="18"/>
                <w:szCs w:val="18"/>
              </w:rPr>
              <w:t>扩展数据类型</w:t>
            </w:r>
          </w:p>
        </w:tc>
        <w:tc>
          <w:tcPr>
            <w:tcW w:w="8953" w:type="dxa"/>
            <w:tcBorders>
              <w:top w:val="nil"/>
              <w:left w:val="nil"/>
              <w:bottom w:val="single" w:color="000000" w:sz="4" w:space="0"/>
              <w:right w:val="single" w:color="000000" w:sz="4" w:space="0"/>
            </w:tcBorders>
            <w:vAlign w:val="center"/>
          </w:tcPr>
          <w:p w14:paraId="2B33588A">
            <w:pPr>
              <w:widowControl/>
              <w:jc w:val="left"/>
              <w:rPr>
                <w:rFonts w:ascii="宋体" w:hAnsi="宋体" w:cs="Arial"/>
                <w:kern w:val="0"/>
                <w:sz w:val="18"/>
                <w:szCs w:val="18"/>
              </w:rPr>
            </w:pPr>
            <w:r>
              <w:rPr>
                <w:rFonts w:ascii="宋体" w:hAnsi="宋体" w:cs="Arial"/>
                <w:kern w:val="0"/>
                <w:sz w:val="18"/>
                <w:szCs w:val="18"/>
              </w:rPr>
              <w:t>支持间隔、XML、JSON 等数据类型</w:t>
            </w:r>
          </w:p>
        </w:tc>
      </w:tr>
      <w:tr w14:paraId="723942F4">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66CCFD83">
            <w:pPr>
              <w:widowControl/>
              <w:jc w:val="center"/>
              <w:rPr>
                <w:rFonts w:ascii="宋体" w:hAnsi="宋体" w:cs="Arial"/>
                <w:kern w:val="0"/>
                <w:sz w:val="18"/>
                <w:szCs w:val="18"/>
              </w:rPr>
            </w:pPr>
            <w:r>
              <w:rPr>
                <w:rFonts w:ascii="宋体" w:hAnsi="宋体" w:cs="Arial"/>
                <w:kern w:val="0"/>
                <w:sz w:val="18"/>
                <w:szCs w:val="18"/>
              </w:rPr>
              <w:t xml:space="preserve">12 </w:t>
            </w:r>
          </w:p>
        </w:tc>
        <w:tc>
          <w:tcPr>
            <w:tcW w:w="1100" w:type="dxa"/>
            <w:tcBorders>
              <w:top w:val="nil"/>
              <w:left w:val="nil"/>
              <w:bottom w:val="single" w:color="000000" w:sz="4" w:space="0"/>
              <w:right w:val="single" w:color="000000" w:sz="4" w:space="0"/>
            </w:tcBorders>
            <w:vAlign w:val="center"/>
          </w:tcPr>
          <w:p w14:paraId="61268432">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1DAA6ACD">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2DCFFEE2">
            <w:pPr>
              <w:widowControl/>
              <w:jc w:val="center"/>
              <w:rPr>
                <w:rFonts w:ascii="宋体" w:hAnsi="宋体" w:cs="Arial"/>
                <w:kern w:val="0"/>
                <w:sz w:val="18"/>
                <w:szCs w:val="18"/>
              </w:rPr>
            </w:pPr>
            <w:r>
              <w:rPr>
                <w:rFonts w:ascii="宋体" w:hAnsi="宋体" w:cs="Arial"/>
                <w:kern w:val="0"/>
                <w:sz w:val="18"/>
                <w:szCs w:val="18"/>
              </w:rPr>
              <w:t>自定义数据类型</w:t>
            </w:r>
          </w:p>
        </w:tc>
        <w:tc>
          <w:tcPr>
            <w:tcW w:w="8953" w:type="dxa"/>
            <w:tcBorders>
              <w:top w:val="nil"/>
              <w:left w:val="nil"/>
              <w:bottom w:val="single" w:color="000000" w:sz="4" w:space="0"/>
              <w:right w:val="single" w:color="000000" w:sz="4" w:space="0"/>
            </w:tcBorders>
            <w:vAlign w:val="center"/>
          </w:tcPr>
          <w:p w14:paraId="1F71F7B9">
            <w:pPr>
              <w:widowControl/>
              <w:jc w:val="left"/>
              <w:rPr>
                <w:rFonts w:ascii="宋体" w:hAnsi="宋体" w:cs="Arial"/>
                <w:kern w:val="0"/>
                <w:sz w:val="18"/>
                <w:szCs w:val="18"/>
              </w:rPr>
            </w:pPr>
            <w:r>
              <w:rPr>
                <w:rFonts w:ascii="宋体" w:hAnsi="宋体" w:cs="Arial"/>
                <w:kern w:val="0"/>
                <w:sz w:val="18"/>
                <w:szCs w:val="18"/>
              </w:rPr>
              <w:t>具备用户自定义数据类型的能力，可支持不同应用场景的数据类型需求</w:t>
            </w:r>
          </w:p>
        </w:tc>
      </w:tr>
      <w:tr w14:paraId="6453FF4B">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19CA872D">
            <w:pPr>
              <w:widowControl/>
              <w:jc w:val="center"/>
              <w:rPr>
                <w:rFonts w:ascii="宋体" w:hAnsi="宋体" w:cs="Arial"/>
                <w:kern w:val="0"/>
                <w:sz w:val="18"/>
                <w:szCs w:val="18"/>
              </w:rPr>
            </w:pPr>
            <w:r>
              <w:rPr>
                <w:rFonts w:ascii="宋体" w:hAnsi="宋体" w:cs="Arial"/>
                <w:kern w:val="0"/>
                <w:sz w:val="18"/>
                <w:szCs w:val="18"/>
              </w:rPr>
              <w:t xml:space="preserve">13 </w:t>
            </w:r>
          </w:p>
        </w:tc>
        <w:tc>
          <w:tcPr>
            <w:tcW w:w="1100" w:type="dxa"/>
            <w:tcBorders>
              <w:top w:val="nil"/>
              <w:left w:val="nil"/>
              <w:bottom w:val="single" w:color="000000" w:sz="4" w:space="0"/>
              <w:right w:val="single" w:color="000000" w:sz="4" w:space="0"/>
            </w:tcBorders>
            <w:vAlign w:val="center"/>
          </w:tcPr>
          <w:p w14:paraId="09B078A2">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52108391">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5E942BAA">
            <w:pPr>
              <w:widowControl/>
              <w:jc w:val="center"/>
              <w:rPr>
                <w:rFonts w:ascii="宋体" w:hAnsi="宋体" w:cs="Arial"/>
                <w:kern w:val="0"/>
                <w:sz w:val="18"/>
                <w:szCs w:val="18"/>
              </w:rPr>
            </w:pPr>
            <w:r>
              <w:rPr>
                <w:rFonts w:ascii="宋体" w:hAnsi="宋体" w:cs="Arial"/>
                <w:kern w:val="0"/>
                <w:sz w:val="18"/>
                <w:szCs w:val="18"/>
              </w:rPr>
              <w:t>★数据存储基础功能</w:t>
            </w:r>
          </w:p>
        </w:tc>
        <w:tc>
          <w:tcPr>
            <w:tcW w:w="8953" w:type="dxa"/>
            <w:tcBorders>
              <w:top w:val="nil"/>
              <w:left w:val="nil"/>
              <w:bottom w:val="single" w:color="000000" w:sz="4" w:space="0"/>
              <w:right w:val="single" w:color="000000" w:sz="4" w:space="0"/>
            </w:tcBorders>
            <w:vAlign w:val="center"/>
          </w:tcPr>
          <w:p w14:paraId="755BF85D">
            <w:pPr>
              <w:widowControl/>
              <w:jc w:val="left"/>
              <w:rPr>
                <w:rFonts w:ascii="宋体" w:hAnsi="宋体" w:cs="Arial"/>
                <w:kern w:val="0"/>
                <w:sz w:val="18"/>
                <w:szCs w:val="18"/>
              </w:rPr>
            </w:pPr>
            <w:r>
              <w:rPr>
                <w:rFonts w:ascii="宋体" w:hAnsi="宋体" w:cs="Arial"/>
                <w:kern w:val="0"/>
                <w:sz w:val="18"/>
                <w:szCs w:val="18"/>
              </w:rPr>
              <w:t>支持基础数据类型</w:t>
            </w:r>
          </w:p>
        </w:tc>
      </w:tr>
      <w:tr w14:paraId="03F590F2">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0575D5AA">
            <w:pPr>
              <w:widowControl/>
              <w:jc w:val="center"/>
              <w:rPr>
                <w:rFonts w:ascii="宋体" w:hAnsi="宋体" w:cs="Arial"/>
                <w:kern w:val="0"/>
                <w:sz w:val="18"/>
                <w:szCs w:val="18"/>
              </w:rPr>
            </w:pPr>
            <w:r>
              <w:rPr>
                <w:rFonts w:ascii="宋体" w:hAnsi="宋体" w:cs="Arial"/>
                <w:kern w:val="0"/>
                <w:sz w:val="18"/>
                <w:szCs w:val="18"/>
              </w:rPr>
              <w:t xml:space="preserve">14 </w:t>
            </w:r>
          </w:p>
        </w:tc>
        <w:tc>
          <w:tcPr>
            <w:tcW w:w="1100" w:type="dxa"/>
            <w:tcBorders>
              <w:top w:val="nil"/>
              <w:left w:val="nil"/>
              <w:bottom w:val="single" w:color="000000" w:sz="4" w:space="0"/>
              <w:right w:val="single" w:color="000000" w:sz="4" w:space="0"/>
            </w:tcBorders>
            <w:vAlign w:val="center"/>
          </w:tcPr>
          <w:p w14:paraId="14928013">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53481DE9">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10B058A7">
            <w:pPr>
              <w:widowControl/>
              <w:jc w:val="center"/>
              <w:rPr>
                <w:rFonts w:ascii="宋体" w:hAnsi="宋体" w:cs="Arial"/>
                <w:kern w:val="0"/>
                <w:sz w:val="18"/>
                <w:szCs w:val="18"/>
              </w:rPr>
            </w:pPr>
            <w:r>
              <w:rPr>
                <w:rFonts w:ascii="宋体" w:hAnsi="宋体" w:cs="Arial"/>
                <w:kern w:val="0"/>
                <w:sz w:val="18"/>
                <w:szCs w:val="18"/>
              </w:rPr>
              <w:t>数据存储增强功能</w:t>
            </w:r>
          </w:p>
        </w:tc>
        <w:tc>
          <w:tcPr>
            <w:tcW w:w="8953" w:type="dxa"/>
            <w:tcBorders>
              <w:top w:val="nil"/>
              <w:left w:val="nil"/>
              <w:bottom w:val="single" w:color="000000" w:sz="4" w:space="0"/>
              <w:right w:val="single" w:color="000000" w:sz="4" w:space="0"/>
            </w:tcBorders>
            <w:vAlign w:val="center"/>
          </w:tcPr>
          <w:p w14:paraId="5845AC73">
            <w:pPr>
              <w:widowControl/>
              <w:jc w:val="left"/>
              <w:rPr>
                <w:rFonts w:ascii="宋体" w:hAnsi="宋体" w:cs="Arial"/>
                <w:kern w:val="0"/>
                <w:sz w:val="18"/>
                <w:szCs w:val="18"/>
              </w:rPr>
            </w:pPr>
            <w:r>
              <w:rPr>
                <w:rFonts w:ascii="宋体" w:hAnsi="宋体" w:cs="Arial"/>
                <w:kern w:val="0"/>
                <w:sz w:val="18"/>
                <w:szCs w:val="18"/>
              </w:rPr>
              <w:t xml:space="preserve"> a) 支持扩展数据类型； b) 支持自定义数据类型</w:t>
            </w:r>
          </w:p>
        </w:tc>
      </w:tr>
      <w:tr w14:paraId="5079DF49">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7EC64D3B">
            <w:pPr>
              <w:widowControl/>
              <w:jc w:val="center"/>
              <w:rPr>
                <w:rFonts w:ascii="宋体" w:hAnsi="宋体" w:cs="Arial"/>
                <w:kern w:val="0"/>
                <w:sz w:val="18"/>
                <w:szCs w:val="18"/>
              </w:rPr>
            </w:pPr>
            <w:r>
              <w:rPr>
                <w:rFonts w:ascii="宋体" w:hAnsi="宋体" w:cs="Arial"/>
                <w:kern w:val="0"/>
                <w:sz w:val="18"/>
                <w:szCs w:val="18"/>
              </w:rPr>
              <w:t xml:space="preserve">15 </w:t>
            </w:r>
          </w:p>
        </w:tc>
        <w:tc>
          <w:tcPr>
            <w:tcW w:w="1100" w:type="dxa"/>
            <w:tcBorders>
              <w:top w:val="nil"/>
              <w:left w:val="nil"/>
              <w:bottom w:val="single" w:color="000000" w:sz="4" w:space="0"/>
              <w:right w:val="single" w:color="000000" w:sz="4" w:space="0"/>
            </w:tcBorders>
            <w:vAlign w:val="center"/>
          </w:tcPr>
          <w:p w14:paraId="188DCEEA">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1347B1DD">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407F305F">
            <w:pPr>
              <w:widowControl/>
              <w:jc w:val="center"/>
              <w:rPr>
                <w:rFonts w:ascii="宋体" w:hAnsi="宋体" w:cs="Arial"/>
                <w:kern w:val="0"/>
                <w:sz w:val="18"/>
                <w:szCs w:val="18"/>
              </w:rPr>
            </w:pPr>
            <w:r>
              <w:rPr>
                <w:rFonts w:ascii="宋体" w:hAnsi="宋体" w:cs="Arial"/>
                <w:kern w:val="0"/>
                <w:sz w:val="18"/>
                <w:szCs w:val="18"/>
              </w:rPr>
              <w:t>★数据检索基础功能</w:t>
            </w:r>
          </w:p>
        </w:tc>
        <w:tc>
          <w:tcPr>
            <w:tcW w:w="8953" w:type="dxa"/>
            <w:tcBorders>
              <w:top w:val="nil"/>
              <w:left w:val="nil"/>
              <w:bottom w:val="single" w:color="000000" w:sz="4" w:space="0"/>
              <w:right w:val="single" w:color="000000" w:sz="4" w:space="0"/>
            </w:tcBorders>
            <w:vAlign w:val="center"/>
          </w:tcPr>
          <w:p w14:paraId="6A6F721E">
            <w:pPr>
              <w:widowControl/>
              <w:jc w:val="left"/>
              <w:rPr>
                <w:rFonts w:ascii="宋体" w:hAnsi="宋体" w:cs="Arial"/>
                <w:kern w:val="0"/>
                <w:sz w:val="18"/>
                <w:szCs w:val="18"/>
              </w:rPr>
            </w:pPr>
            <w:r>
              <w:rPr>
                <w:rFonts w:ascii="宋体" w:hAnsi="宋体" w:cs="Arial"/>
                <w:kern w:val="0"/>
                <w:sz w:val="18"/>
                <w:szCs w:val="18"/>
              </w:rPr>
              <w:t>支持基础数据类型</w:t>
            </w:r>
          </w:p>
        </w:tc>
      </w:tr>
      <w:tr w14:paraId="729C37F4">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6E77CD0E">
            <w:pPr>
              <w:widowControl/>
              <w:jc w:val="center"/>
              <w:rPr>
                <w:rFonts w:ascii="宋体" w:hAnsi="宋体" w:cs="Arial"/>
                <w:kern w:val="0"/>
                <w:sz w:val="18"/>
                <w:szCs w:val="18"/>
              </w:rPr>
            </w:pPr>
            <w:r>
              <w:rPr>
                <w:rFonts w:ascii="宋体" w:hAnsi="宋体" w:cs="Arial"/>
                <w:kern w:val="0"/>
                <w:sz w:val="18"/>
                <w:szCs w:val="18"/>
              </w:rPr>
              <w:t xml:space="preserve">16 </w:t>
            </w:r>
          </w:p>
        </w:tc>
        <w:tc>
          <w:tcPr>
            <w:tcW w:w="1100" w:type="dxa"/>
            <w:tcBorders>
              <w:top w:val="nil"/>
              <w:left w:val="nil"/>
              <w:bottom w:val="single" w:color="000000" w:sz="4" w:space="0"/>
              <w:right w:val="single" w:color="000000" w:sz="4" w:space="0"/>
            </w:tcBorders>
            <w:vAlign w:val="center"/>
          </w:tcPr>
          <w:p w14:paraId="0502949D">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4F0C0EB2">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1C9C9D54">
            <w:pPr>
              <w:widowControl/>
              <w:jc w:val="center"/>
              <w:rPr>
                <w:rFonts w:ascii="宋体" w:hAnsi="宋体" w:cs="Arial"/>
                <w:kern w:val="0"/>
                <w:sz w:val="18"/>
                <w:szCs w:val="18"/>
              </w:rPr>
            </w:pPr>
            <w:r>
              <w:rPr>
                <w:rFonts w:ascii="宋体" w:hAnsi="宋体" w:cs="Arial"/>
                <w:kern w:val="0"/>
                <w:sz w:val="18"/>
                <w:szCs w:val="18"/>
              </w:rPr>
              <w:t>数据检索增强功能</w:t>
            </w:r>
          </w:p>
        </w:tc>
        <w:tc>
          <w:tcPr>
            <w:tcW w:w="8953" w:type="dxa"/>
            <w:tcBorders>
              <w:top w:val="nil"/>
              <w:left w:val="nil"/>
              <w:bottom w:val="single" w:color="000000" w:sz="4" w:space="0"/>
              <w:right w:val="single" w:color="000000" w:sz="4" w:space="0"/>
            </w:tcBorders>
            <w:vAlign w:val="center"/>
          </w:tcPr>
          <w:p w14:paraId="3F4C711D">
            <w:pPr>
              <w:widowControl/>
              <w:jc w:val="left"/>
              <w:rPr>
                <w:rFonts w:ascii="宋体" w:hAnsi="宋体" w:cs="Arial"/>
                <w:kern w:val="0"/>
                <w:sz w:val="18"/>
                <w:szCs w:val="18"/>
              </w:rPr>
            </w:pPr>
            <w:r>
              <w:rPr>
                <w:rFonts w:ascii="宋体" w:hAnsi="宋体" w:cs="Arial"/>
                <w:kern w:val="0"/>
                <w:sz w:val="18"/>
                <w:szCs w:val="18"/>
              </w:rPr>
              <w:t xml:space="preserve"> a) 支持扩展数据类型； b) 支持自定义数据类型； c) 支持中文检索功能，如使用中国纪年历法进行检索</w:t>
            </w:r>
          </w:p>
        </w:tc>
      </w:tr>
      <w:tr w14:paraId="2E5A10E7">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6E1B8459">
            <w:pPr>
              <w:widowControl/>
              <w:jc w:val="center"/>
              <w:rPr>
                <w:rFonts w:ascii="宋体" w:hAnsi="宋体" w:cs="Arial"/>
                <w:kern w:val="0"/>
                <w:sz w:val="18"/>
                <w:szCs w:val="18"/>
              </w:rPr>
            </w:pPr>
            <w:r>
              <w:rPr>
                <w:rFonts w:ascii="宋体" w:hAnsi="宋体" w:cs="Arial"/>
                <w:kern w:val="0"/>
                <w:sz w:val="18"/>
                <w:szCs w:val="18"/>
              </w:rPr>
              <w:t xml:space="preserve">17 </w:t>
            </w:r>
          </w:p>
        </w:tc>
        <w:tc>
          <w:tcPr>
            <w:tcW w:w="1100" w:type="dxa"/>
            <w:tcBorders>
              <w:top w:val="nil"/>
              <w:left w:val="nil"/>
              <w:bottom w:val="single" w:color="000000" w:sz="4" w:space="0"/>
              <w:right w:val="single" w:color="000000" w:sz="4" w:space="0"/>
            </w:tcBorders>
            <w:vAlign w:val="center"/>
          </w:tcPr>
          <w:p w14:paraId="30B13C26">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1A5D5459">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0979AC4F">
            <w:pPr>
              <w:widowControl/>
              <w:jc w:val="center"/>
              <w:rPr>
                <w:rFonts w:ascii="宋体" w:hAnsi="宋体" w:cs="Arial"/>
                <w:kern w:val="0"/>
                <w:sz w:val="18"/>
                <w:szCs w:val="18"/>
              </w:rPr>
            </w:pPr>
            <w:r>
              <w:rPr>
                <w:rFonts w:ascii="宋体" w:hAnsi="宋体" w:cs="Arial"/>
                <w:kern w:val="0"/>
                <w:sz w:val="18"/>
                <w:szCs w:val="18"/>
              </w:rPr>
              <w:t>★核心SQL 能力</w:t>
            </w:r>
          </w:p>
        </w:tc>
        <w:tc>
          <w:tcPr>
            <w:tcW w:w="8953" w:type="dxa"/>
            <w:tcBorders>
              <w:top w:val="nil"/>
              <w:left w:val="nil"/>
              <w:bottom w:val="single" w:color="000000" w:sz="4" w:space="0"/>
              <w:right w:val="single" w:color="000000" w:sz="4" w:space="0"/>
            </w:tcBorders>
            <w:vAlign w:val="center"/>
          </w:tcPr>
          <w:p w14:paraId="1BD3FB3D">
            <w:pPr>
              <w:widowControl/>
              <w:jc w:val="left"/>
              <w:rPr>
                <w:rFonts w:ascii="宋体" w:hAnsi="宋体" w:cs="Arial"/>
                <w:kern w:val="0"/>
                <w:sz w:val="18"/>
                <w:szCs w:val="18"/>
              </w:rPr>
            </w:pPr>
            <w:r>
              <w:rPr>
                <w:rFonts w:ascii="宋体" w:hAnsi="宋体" w:cs="Arial"/>
                <w:kern w:val="0"/>
                <w:sz w:val="18"/>
                <w:szCs w:val="18"/>
              </w:rPr>
              <w:t xml:space="preserve"> a) 支持左外连接； b) 支持右外连接； c) 支持内连接； d) 支持全连接</w:t>
            </w:r>
          </w:p>
        </w:tc>
      </w:tr>
      <w:tr w14:paraId="0CCBF354">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50473B2B">
            <w:pPr>
              <w:widowControl/>
              <w:jc w:val="center"/>
              <w:rPr>
                <w:rFonts w:ascii="宋体" w:hAnsi="宋体" w:cs="Arial"/>
                <w:kern w:val="0"/>
                <w:sz w:val="18"/>
                <w:szCs w:val="18"/>
              </w:rPr>
            </w:pPr>
            <w:r>
              <w:rPr>
                <w:rFonts w:ascii="宋体" w:hAnsi="宋体" w:cs="Arial"/>
                <w:kern w:val="0"/>
                <w:sz w:val="18"/>
                <w:szCs w:val="18"/>
              </w:rPr>
              <w:t xml:space="preserve">18 </w:t>
            </w:r>
          </w:p>
        </w:tc>
        <w:tc>
          <w:tcPr>
            <w:tcW w:w="1100" w:type="dxa"/>
            <w:tcBorders>
              <w:top w:val="nil"/>
              <w:left w:val="nil"/>
              <w:bottom w:val="single" w:color="000000" w:sz="4" w:space="0"/>
              <w:right w:val="single" w:color="000000" w:sz="4" w:space="0"/>
            </w:tcBorders>
            <w:vAlign w:val="center"/>
          </w:tcPr>
          <w:p w14:paraId="57B5C4E0">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734EA08F">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2A729053">
            <w:pPr>
              <w:widowControl/>
              <w:jc w:val="center"/>
              <w:rPr>
                <w:rFonts w:ascii="宋体" w:hAnsi="宋体" w:cs="Arial"/>
                <w:kern w:val="0"/>
                <w:sz w:val="18"/>
                <w:szCs w:val="18"/>
              </w:rPr>
            </w:pPr>
            <w:r>
              <w:rPr>
                <w:rFonts w:ascii="宋体" w:hAnsi="宋体" w:cs="Arial"/>
                <w:kern w:val="0"/>
                <w:sz w:val="18"/>
                <w:szCs w:val="18"/>
              </w:rPr>
              <w:t>★字符集</w:t>
            </w:r>
          </w:p>
        </w:tc>
        <w:tc>
          <w:tcPr>
            <w:tcW w:w="8953" w:type="dxa"/>
            <w:tcBorders>
              <w:top w:val="nil"/>
              <w:left w:val="nil"/>
              <w:bottom w:val="single" w:color="000000" w:sz="4" w:space="0"/>
              <w:right w:val="single" w:color="000000" w:sz="4" w:space="0"/>
            </w:tcBorders>
            <w:vAlign w:val="center"/>
          </w:tcPr>
          <w:p w14:paraId="08179C18">
            <w:pPr>
              <w:widowControl/>
              <w:jc w:val="left"/>
              <w:rPr>
                <w:rFonts w:ascii="宋体" w:hAnsi="宋体" w:cs="Arial"/>
                <w:kern w:val="0"/>
                <w:sz w:val="18"/>
                <w:szCs w:val="18"/>
              </w:rPr>
            </w:pPr>
            <w:r>
              <w:rPr>
                <w:rFonts w:ascii="宋体" w:hAnsi="宋体" w:cs="Arial"/>
                <w:kern w:val="0"/>
                <w:sz w:val="18"/>
                <w:szCs w:val="18"/>
              </w:rPr>
              <w:t>中文字符集符合 GB 18030 的要求</w:t>
            </w:r>
          </w:p>
        </w:tc>
      </w:tr>
      <w:tr w14:paraId="2F1C3218">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0742903F">
            <w:pPr>
              <w:widowControl/>
              <w:jc w:val="center"/>
              <w:rPr>
                <w:rFonts w:ascii="宋体" w:hAnsi="宋体" w:cs="Arial"/>
                <w:kern w:val="0"/>
                <w:sz w:val="18"/>
                <w:szCs w:val="18"/>
              </w:rPr>
            </w:pPr>
            <w:r>
              <w:rPr>
                <w:rFonts w:ascii="宋体" w:hAnsi="宋体" w:cs="Arial"/>
                <w:kern w:val="0"/>
                <w:sz w:val="18"/>
                <w:szCs w:val="18"/>
              </w:rPr>
              <w:t xml:space="preserve">19 </w:t>
            </w:r>
          </w:p>
        </w:tc>
        <w:tc>
          <w:tcPr>
            <w:tcW w:w="1100" w:type="dxa"/>
            <w:tcBorders>
              <w:top w:val="nil"/>
              <w:left w:val="nil"/>
              <w:bottom w:val="single" w:color="000000" w:sz="4" w:space="0"/>
              <w:right w:val="single" w:color="000000" w:sz="4" w:space="0"/>
            </w:tcBorders>
            <w:vAlign w:val="center"/>
          </w:tcPr>
          <w:p w14:paraId="1FA4733E">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02E5C767">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441F5E89">
            <w:pPr>
              <w:widowControl/>
              <w:jc w:val="center"/>
              <w:rPr>
                <w:rFonts w:ascii="宋体" w:hAnsi="宋体" w:cs="Arial"/>
                <w:kern w:val="0"/>
                <w:sz w:val="18"/>
                <w:szCs w:val="18"/>
              </w:rPr>
            </w:pPr>
            <w:r>
              <w:rPr>
                <w:rFonts w:ascii="宋体" w:hAnsi="宋体" w:cs="Arial"/>
                <w:kern w:val="0"/>
                <w:sz w:val="18"/>
                <w:szCs w:val="18"/>
              </w:rPr>
              <w:t>★常用操作符</w:t>
            </w:r>
          </w:p>
        </w:tc>
        <w:tc>
          <w:tcPr>
            <w:tcW w:w="8953" w:type="dxa"/>
            <w:tcBorders>
              <w:top w:val="nil"/>
              <w:left w:val="nil"/>
              <w:bottom w:val="single" w:color="000000" w:sz="4" w:space="0"/>
              <w:right w:val="single" w:color="000000" w:sz="4" w:space="0"/>
            </w:tcBorders>
            <w:vAlign w:val="center"/>
          </w:tcPr>
          <w:p w14:paraId="027A7662">
            <w:pPr>
              <w:widowControl/>
              <w:jc w:val="left"/>
              <w:rPr>
                <w:rFonts w:ascii="宋体" w:hAnsi="宋体" w:cs="Arial"/>
                <w:kern w:val="0"/>
                <w:sz w:val="18"/>
                <w:szCs w:val="18"/>
              </w:rPr>
            </w:pPr>
            <w:r>
              <w:rPr>
                <w:rFonts w:ascii="宋体" w:hAnsi="宋体" w:cs="Arial"/>
                <w:kern w:val="0"/>
                <w:sz w:val="18"/>
                <w:szCs w:val="18"/>
              </w:rPr>
              <w:t xml:space="preserve"> a) 支持逻辑操作符及相关运算； b) 支持比较操作符及相关运算； c) 支持算术运算符及相关运算</w:t>
            </w:r>
          </w:p>
        </w:tc>
      </w:tr>
      <w:tr w14:paraId="32CC347B">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67BA87CE">
            <w:pPr>
              <w:widowControl/>
              <w:jc w:val="center"/>
              <w:rPr>
                <w:rFonts w:ascii="宋体" w:hAnsi="宋体" w:cs="Arial"/>
                <w:kern w:val="0"/>
                <w:sz w:val="18"/>
                <w:szCs w:val="18"/>
              </w:rPr>
            </w:pPr>
            <w:r>
              <w:rPr>
                <w:rFonts w:ascii="宋体" w:hAnsi="宋体" w:cs="Arial"/>
                <w:kern w:val="0"/>
                <w:sz w:val="18"/>
                <w:szCs w:val="18"/>
              </w:rPr>
              <w:t xml:space="preserve">20 </w:t>
            </w:r>
          </w:p>
        </w:tc>
        <w:tc>
          <w:tcPr>
            <w:tcW w:w="1100" w:type="dxa"/>
            <w:tcBorders>
              <w:top w:val="nil"/>
              <w:left w:val="nil"/>
              <w:bottom w:val="single" w:color="000000" w:sz="4" w:space="0"/>
              <w:right w:val="single" w:color="000000" w:sz="4" w:space="0"/>
            </w:tcBorders>
            <w:vAlign w:val="center"/>
          </w:tcPr>
          <w:p w14:paraId="79F8C672">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57E1F0BC">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11DD36BD">
            <w:pPr>
              <w:widowControl/>
              <w:jc w:val="center"/>
              <w:rPr>
                <w:rFonts w:ascii="宋体" w:hAnsi="宋体" w:cs="Arial"/>
                <w:kern w:val="0"/>
                <w:sz w:val="18"/>
                <w:szCs w:val="18"/>
              </w:rPr>
            </w:pPr>
            <w:r>
              <w:rPr>
                <w:rFonts w:ascii="宋体" w:hAnsi="宋体" w:cs="Arial"/>
                <w:kern w:val="0"/>
                <w:sz w:val="18"/>
                <w:szCs w:val="18"/>
              </w:rPr>
              <w:t>★条件表达式</w:t>
            </w:r>
          </w:p>
        </w:tc>
        <w:tc>
          <w:tcPr>
            <w:tcW w:w="8953" w:type="dxa"/>
            <w:tcBorders>
              <w:top w:val="nil"/>
              <w:left w:val="nil"/>
              <w:bottom w:val="single" w:color="000000" w:sz="4" w:space="0"/>
              <w:right w:val="single" w:color="000000" w:sz="4" w:space="0"/>
            </w:tcBorders>
            <w:vAlign w:val="center"/>
          </w:tcPr>
          <w:p w14:paraId="6E89AD59">
            <w:pPr>
              <w:widowControl/>
              <w:jc w:val="left"/>
              <w:rPr>
                <w:rFonts w:ascii="宋体" w:hAnsi="宋体" w:cs="Arial"/>
                <w:kern w:val="0"/>
                <w:sz w:val="18"/>
                <w:szCs w:val="18"/>
              </w:rPr>
            </w:pPr>
            <w:r>
              <w:rPr>
                <w:rFonts w:ascii="宋体" w:hAnsi="宋体" w:cs="Arial"/>
                <w:kern w:val="0"/>
                <w:sz w:val="18"/>
                <w:szCs w:val="18"/>
              </w:rPr>
              <w:t xml:space="preserve"> a) 支持对比条件表达式； b) 支持逻辑条件表达式； c) 支持空值条件表达式； d) 支持等于条件表达式； e) 支持模式匹配条件表达式； f) 支持区间条件表达式； g) 支持 IN 条件表达式； h) 支持存在条件表达式； i) 支持以上条件表达式的复合表达式</w:t>
            </w:r>
          </w:p>
        </w:tc>
      </w:tr>
      <w:tr w14:paraId="6A4FC9B9">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5F0623FB">
            <w:pPr>
              <w:widowControl/>
              <w:jc w:val="center"/>
              <w:rPr>
                <w:rFonts w:ascii="宋体" w:hAnsi="宋体" w:cs="Arial"/>
                <w:kern w:val="0"/>
                <w:sz w:val="18"/>
                <w:szCs w:val="18"/>
              </w:rPr>
            </w:pPr>
            <w:r>
              <w:rPr>
                <w:rFonts w:ascii="宋体" w:hAnsi="宋体" w:cs="Arial"/>
                <w:kern w:val="0"/>
                <w:sz w:val="18"/>
                <w:szCs w:val="18"/>
              </w:rPr>
              <w:t xml:space="preserve">21 </w:t>
            </w:r>
          </w:p>
        </w:tc>
        <w:tc>
          <w:tcPr>
            <w:tcW w:w="1100" w:type="dxa"/>
            <w:tcBorders>
              <w:top w:val="nil"/>
              <w:left w:val="nil"/>
              <w:bottom w:val="single" w:color="000000" w:sz="4" w:space="0"/>
              <w:right w:val="single" w:color="000000" w:sz="4" w:space="0"/>
            </w:tcBorders>
            <w:vAlign w:val="center"/>
          </w:tcPr>
          <w:p w14:paraId="099F3119">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3B2B488D">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068B131B">
            <w:pPr>
              <w:widowControl/>
              <w:jc w:val="center"/>
              <w:rPr>
                <w:rFonts w:ascii="宋体" w:hAnsi="宋体" w:cs="Arial"/>
                <w:kern w:val="0"/>
                <w:sz w:val="18"/>
                <w:szCs w:val="18"/>
              </w:rPr>
            </w:pPr>
            <w:r>
              <w:rPr>
                <w:rFonts w:ascii="宋体" w:hAnsi="宋体" w:cs="Arial"/>
                <w:kern w:val="0"/>
                <w:sz w:val="18"/>
                <w:szCs w:val="18"/>
              </w:rPr>
              <w:t>★SQL 执行计划</w:t>
            </w:r>
          </w:p>
        </w:tc>
        <w:tc>
          <w:tcPr>
            <w:tcW w:w="8953" w:type="dxa"/>
            <w:tcBorders>
              <w:top w:val="nil"/>
              <w:left w:val="nil"/>
              <w:bottom w:val="single" w:color="000000" w:sz="4" w:space="0"/>
              <w:right w:val="single" w:color="000000" w:sz="4" w:space="0"/>
            </w:tcBorders>
            <w:vAlign w:val="center"/>
          </w:tcPr>
          <w:p w14:paraId="2068AA08">
            <w:pPr>
              <w:widowControl/>
              <w:jc w:val="left"/>
              <w:rPr>
                <w:rFonts w:ascii="宋体" w:hAnsi="宋体" w:cs="Arial"/>
                <w:kern w:val="0"/>
                <w:sz w:val="18"/>
                <w:szCs w:val="18"/>
              </w:rPr>
            </w:pPr>
            <w:r>
              <w:rPr>
                <w:rFonts w:ascii="宋体" w:hAnsi="宋体" w:cs="Arial"/>
                <w:kern w:val="0"/>
                <w:sz w:val="18"/>
                <w:szCs w:val="18"/>
              </w:rPr>
              <w:t>支持 SQL 计划，使 SQL 按照指定的语句执行，并实现预期结果</w:t>
            </w:r>
          </w:p>
        </w:tc>
      </w:tr>
      <w:tr w14:paraId="4C661EA0">
        <w:tblPrEx>
          <w:tblCellMar>
            <w:top w:w="0" w:type="dxa"/>
            <w:left w:w="108" w:type="dxa"/>
            <w:bottom w:w="0" w:type="dxa"/>
            <w:right w:w="108" w:type="dxa"/>
          </w:tblCellMar>
        </w:tblPrEx>
        <w:trPr>
          <w:trHeight w:val="926" w:hRule="atLeast"/>
        </w:trPr>
        <w:tc>
          <w:tcPr>
            <w:tcW w:w="500" w:type="dxa"/>
            <w:tcBorders>
              <w:top w:val="nil"/>
              <w:left w:val="single" w:color="000000" w:sz="4" w:space="0"/>
              <w:bottom w:val="single" w:color="000000" w:sz="4" w:space="0"/>
              <w:right w:val="single" w:color="000000" w:sz="4" w:space="0"/>
            </w:tcBorders>
            <w:vAlign w:val="center"/>
          </w:tcPr>
          <w:p w14:paraId="11FAAFBA">
            <w:pPr>
              <w:widowControl/>
              <w:jc w:val="center"/>
              <w:rPr>
                <w:rFonts w:ascii="宋体" w:hAnsi="宋体" w:cs="Arial"/>
                <w:kern w:val="0"/>
                <w:sz w:val="18"/>
                <w:szCs w:val="18"/>
              </w:rPr>
            </w:pPr>
            <w:r>
              <w:rPr>
                <w:rFonts w:ascii="宋体" w:hAnsi="宋体" w:cs="Arial"/>
                <w:kern w:val="0"/>
                <w:sz w:val="18"/>
                <w:szCs w:val="18"/>
              </w:rPr>
              <w:t xml:space="preserve">22 </w:t>
            </w:r>
          </w:p>
        </w:tc>
        <w:tc>
          <w:tcPr>
            <w:tcW w:w="1100" w:type="dxa"/>
            <w:tcBorders>
              <w:top w:val="nil"/>
              <w:left w:val="nil"/>
              <w:bottom w:val="single" w:color="000000" w:sz="4" w:space="0"/>
              <w:right w:val="single" w:color="000000" w:sz="4" w:space="0"/>
            </w:tcBorders>
            <w:vAlign w:val="center"/>
          </w:tcPr>
          <w:p w14:paraId="59342D2A">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restart"/>
            <w:tcBorders>
              <w:top w:val="nil"/>
              <w:left w:val="single" w:color="000000" w:sz="4" w:space="0"/>
              <w:bottom w:val="single" w:color="000000" w:sz="4" w:space="0"/>
              <w:right w:val="single" w:color="000000" w:sz="4" w:space="0"/>
            </w:tcBorders>
            <w:vAlign w:val="center"/>
          </w:tcPr>
          <w:p w14:paraId="41B57FBF">
            <w:pPr>
              <w:widowControl/>
              <w:jc w:val="center"/>
              <w:rPr>
                <w:rFonts w:ascii="宋体" w:hAnsi="宋体" w:cs="Arial"/>
                <w:kern w:val="0"/>
                <w:sz w:val="18"/>
                <w:szCs w:val="18"/>
              </w:rPr>
            </w:pPr>
            <w:r>
              <w:rPr>
                <w:rFonts w:ascii="宋体" w:hAnsi="宋体" w:cs="Arial"/>
                <w:kern w:val="0"/>
                <w:sz w:val="18"/>
                <w:szCs w:val="18"/>
              </w:rPr>
              <w:t>数据库对象</w:t>
            </w:r>
          </w:p>
        </w:tc>
        <w:tc>
          <w:tcPr>
            <w:tcW w:w="1100" w:type="dxa"/>
            <w:tcBorders>
              <w:top w:val="nil"/>
              <w:left w:val="nil"/>
              <w:bottom w:val="single" w:color="000000" w:sz="4" w:space="0"/>
              <w:right w:val="single" w:color="000000" w:sz="4" w:space="0"/>
            </w:tcBorders>
            <w:vAlign w:val="center"/>
          </w:tcPr>
          <w:p w14:paraId="6AF293E8">
            <w:pPr>
              <w:widowControl/>
              <w:jc w:val="center"/>
              <w:rPr>
                <w:rFonts w:ascii="宋体" w:hAnsi="宋体" w:cs="Arial"/>
                <w:kern w:val="0"/>
                <w:sz w:val="18"/>
                <w:szCs w:val="18"/>
              </w:rPr>
            </w:pPr>
            <w:r>
              <w:rPr>
                <w:rFonts w:ascii="宋体" w:hAnsi="宋体" w:cs="Arial"/>
                <w:kern w:val="0"/>
                <w:sz w:val="18"/>
                <w:szCs w:val="18"/>
              </w:rPr>
              <w:t>★基础对象类型</w:t>
            </w:r>
          </w:p>
        </w:tc>
        <w:tc>
          <w:tcPr>
            <w:tcW w:w="8953" w:type="dxa"/>
            <w:tcBorders>
              <w:top w:val="nil"/>
              <w:left w:val="nil"/>
              <w:bottom w:val="single" w:color="000000" w:sz="4" w:space="0"/>
              <w:right w:val="single" w:color="000000" w:sz="4" w:space="0"/>
            </w:tcBorders>
            <w:vAlign w:val="center"/>
          </w:tcPr>
          <w:p w14:paraId="77211D18">
            <w:pPr>
              <w:widowControl/>
              <w:jc w:val="left"/>
              <w:rPr>
                <w:rFonts w:ascii="宋体" w:hAnsi="宋体" w:cs="Arial"/>
                <w:kern w:val="0"/>
                <w:sz w:val="18"/>
                <w:szCs w:val="18"/>
              </w:rPr>
            </w:pPr>
            <w:r>
              <w:rPr>
                <w:rFonts w:ascii="宋体" w:hAnsi="宋体" w:cs="Arial"/>
                <w:kern w:val="0"/>
                <w:sz w:val="18"/>
                <w:szCs w:val="18"/>
              </w:rPr>
              <w:t xml:space="preserve"> a) 支持用户的创建、删除、修改； b) 支持角色的创建、删除、修改； c) 支持存储过程的创建、删除、修改； d) 支持表操作功能； e) 支持自增序列； f) 支持主键约束、外键约束、唯一性约束、检查约束和联合主键约束； g) 支持游标功能； h) 支持视图的创建、删除、修改； i) 支持数值计算函数、字符处理函数、日期时间值函数、间隔函数、类型转换函数、位运算函数、聚合函数、格式化、系统信息等常用函数</w:t>
            </w:r>
          </w:p>
        </w:tc>
      </w:tr>
      <w:tr w14:paraId="6DCD5FDD">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04B1B22D">
            <w:pPr>
              <w:widowControl/>
              <w:jc w:val="center"/>
              <w:rPr>
                <w:rFonts w:ascii="宋体" w:hAnsi="宋体" w:cs="Arial"/>
                <w:kern w:val="0"/>
                <w:sz w:val="18"/>
                <w:szCs w:val="18"/>
              </w:rPr>
            </w:pPr>
            <w:r>
              <w:rPr>
                <w:rFonts w:ascii="宋体" w:hAnsi="宋体" w:cs="Arial"/>
                <w:kern w:val="0"/>
                <w:sz w:val="18"/>
                <w:szCs w:val="18"/>
              </w:rPr>
              <w:t xml:space="preserve">23 </w:t>
            </w:r>
          </w:p>
        </w:tc>
        <w:tc>
          <w:tcPr>
            <w:tcW w:w="1100" w:type="dxa"/>
            <w:tcBorders>
              <w:top w:val="nil"/>
              <w:left w:val="nil"/>
              <w:bottom w:val="single" w:color="000000" w:sz="4" w:space="0"/>
              <w:right w:val="single" w:color="000000" w:sz="4" w:space="0"/>
            </w:tcBorders>
            <w:vAlign w:val="center"/>
          </w:tcPr>
          <w:p w14:paraId="300D17DA">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0158E62F">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4A834056">
            <w:pPr>
              <w:widowControl/>
              <w:jc w:val="center"/>
              <w:rPr>
                <w:rFonts w:ascii="宋体" w:hAnsi="宋体" w:cs="Arial"/>
                <w:kern w:val="0"/>
                <w:sz w:val="18"/>
                <w:szCs w:val="18"/>
              </w:rPr>
            </w:pPr>
            <w:r>
              <w:rPr>
                <w:rFonts w:ascii="宋体" w:hAnsi="宋体" w:cs="Arial"/>
                <w:kern w:val="0"/>
                <w:sz w:val="18"/>
                <w:szCs w:val="18"/>
              </w:rPr>
              <w:t>扩展对象类型</w:t>
            </w:r>
          </w:p>
        </w:tc>
        <w:tc>
          <w:tcPr>
            <w:tcW w:w="8953" w:type="dxa"/>
            <w:tcBorders>
              <w:top w:val="nil"/>
              <w:left w:val="nil"/>
              <w:bottom w:val="single" w:color="000000" w:sz="4" w:space="0"/>
              <w:right w:val="single" w:color="000000" w:sz="4" w:space="0"/>
            </w:tcBorders>
            <w:vAlign w:val="center"/>
          </w:tcPr>
          <w:p w14:paraId="284803FA">
            <w:pPr>
              <w:widowControl/>
              <w:jc w:val="left"/>
              <w:rPr>
                <w:rFonts w:ascii="宋体" w:hAnsi="宋体" w:cs="Arial"/>
                <w:kern w:val="0"/>
                <w:sz w:val="18"/>
                <w:szCs w:val="18"/>
              </w:rPr>
            </w:pPr>
            <w:r>
              <w:rPr>
                <w:rFonts w:ascii="宋体" w:hAnsi="宋体" w:cs="Arial"/>
                <w:kern w:val="0"/>
                <w:sz w:val="18"/>
                <w:szCs w:val="18"/>
              </w:rPr>
              <w:t xml:space="preserve"> a) 支持包的创建、删除、修改； b) 支持触发器的创建、删除、修改； c) 支持外部链接的创建、删除，并可以通过外部链接进行外部访问； d) 支持作业的创建、删除、修改； e) 支持全局唯一的自增序列； f) 支持创建函数索引； g) 支持定义同义词</w:t>
            </w:r>
          </w:p>
        </w:tc>
      </w:tr>
      <w:tr w14:paraId="600E265E">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7AE39D83">
            <w:pPr>
              <w:widowControl/>
              <w:jc w:val="center"/>
              <w:rPr>
                <w:rFonts w:ascii="宋体" w:hAnsi="宋体" w:cs="Arial"/>
                <w:kern w:val="0"/>
                <w:sz w:val="18"/>
                <w:szCs w:val="18"/>
              </w:rPr>
            </w:pPr>
            <w:r>
              <w:rPr>
                <w:rFonts w:ascii="宋体" w:hAnsi="宋体" w:cs="Arial"/>
                <w:kern w:val="0"/>
                <w:sz w:val="18"/>
                <w:szCs w:val="18"/>
              </w:rPr>
              <w:t xml:space="preserve">24 </w:t>
            </w:r>
          </w:p>
        </w:tc>
        <w:tc>
          <w:tcPr>
            <w:tcW w:w="1100" w:type="dxa"/>
            <w:tcBorders>
              <w:top w:val="nil"/>
              <w:left w:val="nil"/>
              <w:bottom w:val="single" w:color="000000" w:sz="4" w:space="0"/>
              <w:right w:val="single" w:color="000000" w:sz="4" w:space="0"/>
            </w:tcBorders>
            <w:vAlign w:val="center"/>
          </w:tcPr>
          <w:p w14:paraId="091EB117">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797C74A0">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369323F3">
            <w:pPr>
              <w:widowControl/>
              <w:jc w:val="center"/>
              <w:rPr>
                <w:rFonts w:ascii="宋体" w:hAnsi="宋体" w:cs="Arial"/>
                <w:kern w:val="0"/>
                <w:sz w:val="18"/>
                <w:szCs w:val="18"/>
              </w:rPr>
            </w:pPr>
            <w:r>
              <w:rPr>
                <w:rFonts w:ascii="宋体" w:hAnsi="宋体" w:cs="Arial"/>
                <w:kern w:val="0"/>
                <w:sz w:val="18"/>
                <w:szCs w:val="18"/>
              </w:rPr>
              <w:t>★基础表分区管理</w:t>
            </w:r>
          </w:p>
        </w:tc>
        <w:tc>
          <w:tcPr>
            <w:tcW w:w="8953" w:type="dxa"/>
            <w:tcBorders>
              <w:top w:val="nil"/>
              <w:left w:val="nil"/>
              <w:bottom w:val="single" w:color="000000" w:sz="4" w:space="0"/>
              <w:right w:val="single" w:color="000000" w:sz="4" w:space="0"/>
            </w:tcBorders>
            <w:vAlign w:val="center"/>
          </w:tcPr>
          <w:p w14:paraId="45D6E4A3">
            <w:pPr>
              <w:widowControl/>
              <w:jc w:val="left"/>
              <w:rPr>
                <w:rFonts w:ascii="宋体" w:hAnsi="宋体" w:cs="Arial"/>
                <w:kern w:val="0"/>
                <w:sz w:val="18"/>
                <w:szCs w:val="18"/>
              </w:rPr>
            </w:pPr>
            <w:r>
              <w:rPr>
                <w:rFonts w:ascii="宋体" w:hAnsi="宋体" w:cs="Arial"/>
                <w:kern w:val="0"/>
                <w:sz w:val="18"/>
                <w:szCs w:val="18"/>
              </w:rPr>
              <w:t>a) 哈希分区方式； b) 范围分区方式； c) 列表分区方式</w:t>
            </w:r>
          </w:p>
        </w:tc>
      </w:tr>
      <w:tr w14:paraId="52B263EF">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19E2C63B">
            <w:pPr>
              <w:widowControl/>
              <w:jc w:val="center"/>
              <w:rPr>
                <w:rFonts w:ascii="宋体" w:hAnsi="宋体" w:cs="Arial"/>
                <w:kern w:val="0"/>
                <w:sz w:val="18"/>
                <w:szCs w:val="18"/>
              </w:rPr>
            </w:pPr>
            <w:r>
              <w:rPr>
                <w:rFonts w:ascii="宋体" w:hAnsi="宋体" w:cs="Arial"/>
                <w:kern w:val="0"/>
                <w:sz w:val="18"/>
                <w:szCs w:val="18"/>
              </w:rPr>
              <w:t xml:space="preserve">25 </w:t>
            </w:r>
          </w:p>
        </w:tc>
        <w:tc>
          <w:tcPr>
            <w:tcW w:w="1100" w:type="dxa"/>
            <w:tcBorders>
              <w:top w:val="nil"/>
              <w:left w:val="nil"/>
              <w:bottom w:val="single" w:color="000000" w:sz="4" w:space="0"/>
              <w:right w:val="single" w:color="000000" w:sz="4" w:space="0"/>
            </w:tcBorders>
            <w:vAlign w:val="center"/>
          </w:tcPr>
          <w:p w14:paraId="2BDB965C">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2224017E">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5A5A0FD8">
            <w:pPr>
              <w:widowControl/>
              <w:jc w:val="center"/>
              <w:rPr>
                <w:rFonts w:ascii="宋体" w:hAnsi="宋体" w:cs="Arial"/>
                <w:kern w:val="0"/>
                <w:sz w:val="18"/>
                <w:szCs w:val="18"/>
              </w:rPr>
            </w:pPr>
            <w:r>
              <w:rPr>
                <w:rFonts w:ascii="宋体" w:hAnsi="宋体" w:cs="Arial"/>
                <w:kern w:val="0"/>
                <w:sz w:val="18"/>
                <w:szCs w:val="18"/>
              </w:rPr>
              <w:t>扩展表分区管理</w:t>
            </w:r>
          </w:p>
        </w:tc>
        <w:tc>
          <w:tcPr>
            <w:tcW w:w="8953" w:type="dxa"/>
            <w:tcBorders>
              <w:top w:val="nil"/>
              <w:left w:val="nil"/>
              <w:bottom w:val="single" w:color="000000" w:sz="4" w:space="0"/>
              <w:right w:val="single" w:color="000000" w:sz="4" w:space="0"/>
            </w:tcBorders>
            <w:vAlign w:val="center"/>
          </w:tcPr>
          <w:p w14:paraId="4C1EBFD6">
            <w:pPr>
              <w:widowControl/>
              <w:jc w:val="left"/>
              <w:rPr>
                <w:rFonts w:ascii="宋体" w:hAnsi="宋体" w:cs="Arial"/>
                <w:kern w:val="0"/>
                <w:sz w:val="18"/>
                <w:szCs w:val="18"/>
              </w:rPr>
            </w:pPr>
            <w:r>
              <w:rPr>
                <w:rFonts w:ascii="宋体" w:hAnsi="宋体" w:cs="Arial"/>
                <w:kern w:val="0"/>
                <w:sz w:val="18"/>
                <w:szCs w:val="18"/>
              </w:rPr>
              <w:t xml:space="preserve"> a) 支持数据库表分区及二级分区能力； b) 支持建立分区索引</w:t>
            </w:r>
          </w:p>
        </w:tc>
      </w:tr>
      <w:tr w14:paraId="3498B0D1">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20B0B6F2">
            <w:pPr>
              <w:widowControl/>
              <w:jc w:val="center"/>
              <w:rPr>
                <w:rFonts w:ascii="宋体" w:hAnsi="宋体" w:cs="Arial"/>
                <w:kern w:val="0"/>
                <w:sz w:val="18"/>
                <w:szCs w:val="18"/>
              </w:rPr>
            </w:pPr>
            <w:r>
              <w:rPr>
                <w:rFonts w:ascii="宋体" w:hAnsi="宋体" w:cs="Arial"/>
                <w:kern w:val="0"/>
                <w:sz w:val="18"/>
                <w:szCs w:val="18"/>
              </w:rPr>
              <w:t xml:space="preserve">26 </w:t>
            </w:r>
          </w:p>
        </w:tc>
        <w:tc>
          <w:tcPr>
            <w:tcW w:w="1100" w:type="dxa"/>
            <w:tcBorders>
              <w:top w:val="nil"/>
              <w:left w:val="nil"/>
              <w:bottom w:val="single" w:color="000000" w:sz="4" w:space="0"/>
              <w:right w:val="single" w:color="000000" w:sz="4" w:space="0"/>
            </w:tcBorders>
            <w:vAlign w:val="center"/>
          </w:tcPr>
          <w:p w14:paraId="366723B4">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2DD1764D">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57B42D81">
            <w:pPr>
              <w:widowControl/>
              <w:jc w:val="center"/>
              <w:rPr>
                <w:rFonts w:ascii="宋体" w:hAnsi="宋体" w:cs="Arial"/>
                <w:kern w:val="0"/>
                <w:sz w:val="18"/>
                <w:szCs w:val="18"/>
              </w:rPr>
            </w:pPr>
            <w:r>
              <w:rPr>
                <w:rFonts w:ascii="宋体" w:hAnsi="宋体" w:cs="Arial"/>
                <w:kern w:val="0"/>
                <w:sz w:val="18"/>
                <w:szCs w:val="18"/>
              </w:rPr>
              <w:t>查看对象</w:t>
            </w:r>
          </w:p>
        </w:tc>
        <w:tc>
          <w:tcPr>
            <w:tcW w:w="8953" w:type="dxa"/>
            <w:tcBorders>
              <w:top w:val="nil"/>
              <w:left w:val="nil"/>
              <w:bottom w:val="single" w:color="000000" w:sz="4" w:space="0"/>
              <w:right w:val="single" w:color="000000" w:sz="4" w:space="0"/>
            </w:tcBorders>
            <w:vAlign w:val="center"/>
          </w:tcPr>
          <w:p w14:paraId="36429D48">
            <w:pPr>
              <w:widowControl/>
              <w:jc w:val="left"/>
              <w:rPr>
                <w:rFonts w:ascii="宋体" w:hAnsi="宋体" w:cs="Arial"/>
                <w:kern w:val="0"/>
                <w:sz w:val="18"/>
                <w:szCs w:val="18"/>
              </w:rPr>
            </w:pPr>
            <w:r>
              <w:rPr>
                <w:rFonts w:ascii="宋体" w:hAnsi="宋体" w:cs="Arial"/>
                <w:kern w:val="0"/>
                <w:sz w:val="18"/>
                <w:szCs w:val="18"/>
              </w:rPr>
              <w:t xml:space="preserve"> a) 支持查看数据库信息； b) 支持查看表对象信息； c) 支持查看索引对象信息； d) 支持查看字段对象信息； e）支持查看约束对象信息； f）支持查看数据库实例信息； g）支持查看表空间信息</w:t>
            </w:r>
          </w:p>
        </w:tc>
      </w:tr>
      <w:tr w14:paraId="74E86506">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60C41DB6">
            <w:pPr>
              <w:widowControl/>
              <w:jc w:val="center"/>
              <w:rPr>
                <w:rFonts w:ascii="宋体" w:hAnsi="宋体" w:cs="Arial"/>
                <w:kern w:val="0"/>
                <w:sz w:val="18"/>
                <w:szCs w:val="18"/>
              </w:rPr>
            </w:pPr>
            <w:r>
              <w:rPr>
                <w:rFonts w:ascii="宋体" w:hAnsi="宋体" w:cs="Arial"/>
                <w:kern w:val="0"/>
                <w:sz w:val="18"/>
                <w:szCs w:val="18"/>
              </w:rPr>
              <w:t xml:space="preserve">27 </w:t>
            </w:r>
          </w:p>
        </w:tc>
        <w:tc>
          <w:tcPr>
            <w:tcW w:w="1100" w:type="dxa"/>
            <w:tcBorders>
              <w:top w:val="nil"/>
              <w:left w:val="nil"/>
              <w:bottom w:val="single" w:color="000000" w:sz="4" w:space="0"/>
              <w:right w:val="single" w:color="000000" w:sz="4" w:space="0"/>
            </w:tcBorders>
            <w:vAlign w:val="center"/>
          </w:tcPr>
          <w:p w14:paraId="5EB4BC83">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56B0CEEC">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57FF0BB3">
            <w:pPr>
              <w:widowControl/>
              <w:jc w:val="center"/>
              <w:rPr>
                <w:rFonts w:ascii="宋体" w:hAnsi="宋体" w:cs="Arial"/>
                <w:kern w:val="0"/>
                <w:sz w:val="18"/>
                <w:szCs w:val="18"/>
              </w:rPr>
            </w:pPr>
            <w:r>
              <w:rPr>
                <w:rFonts w:ascii="宋体" w:hAnsi="宋体" w:cs="Arial"/>
                <w:kern w:val="0"/>
                <w:sz w:val="18"/>
                <w:szCs w:val="18"/>
              </w:rPr>
              <w:t>查看日志、系统信息</w:t>
            </w:r>
          </w:p>
        </w:tc>
        <w:tc>
          <w:tcPr>
            <w:tcW w:w="8953" w:type="dxa"/>
            <w:tcBorders>
              <w:top w:val="nil"/>
              <w:left w:val="nil"/>
              <w:bottom w:val="single" w:color="000000" w:sz="4" w:space="0"/>
              <w:right w:val="single" w:color="000000" w:sz="4" w:space="0"/>
            </w:tcBorders>
            <w:vAlign w:val="center"/>
          </w:tcPr>
          <w:p w14:paraId="6E70B54E">
            <w:pPr>
              <w:widowControl/>
              <w:jc w:val="left"/>
              <w:rPr>
                <w:rFonts w:ascii="宋体" w:hAnsi="宋体" w:cs="Arial"/>
                <w:kern w:val="0"/>
                <w:sz w:val="18"/>
                <w:szCs w:val="18"/>
              </w:rPr>
            </w:pPr>
            <w:r>
              <w:rPr>
                <w:rFonts w:ascii="宋体" w:hAnsi="宋体" w:cs="Arial"/>
                <w:kern w:val="0"/>
                <w:sz w:val="18"/>
                <w:szCs w:val="18"/>
              </w:rPr>
              <w:t>a) 支持查看日志文件的能力；b）厂商提供查看实例数据缓存的视图或图形化管理工具； c）厂商提供查看日志缓存的视图或图形化管理工具； d）厂商提供查看数据字典的视图或图形化管理工具</w:t>
            </w:r>
          </w:p>
        </w:tc>
      </w:tr>
      <w:tr w14:paraId="238FBC4D">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12788268">
            <w:pPr>
              <w:widowControl/>
              <w:jc w:val="center"/>
              <w:rPr>
                <w:rFonts w:ascii="宋体" w:hAnsi="宋体" w:cs="Arial"/>
                <w:kern w:val="0"/>
                <w:sz w:val="18"/>
                <w:szCs w:val="18"/>
              </w:rPr>
            </w:pPr>
            <w:r>
              <w:rPr>
                <w:rFonts w:ascii="宋体" w:hAnsi="宋体" w:cs="Arial"/>
                <w:kern w:val="0"/>
                <w:sz w:val="18"/>
                <w:szCs w:val="18"/>
              </w:rPr>
              <w:t xml:space="preserve">28 </w:t>
            </w:r>
          </w:p>
        </w:tc>
        <w:tc>
          <w:tcPr>
            <w:tcW w:w="1100" w:type="dxa"/>
            <w:tcBorders>
              <w:top w:val="nil"/>
              <w:left w:val="nil"/>
              <w:bottom w:val="single" w:color="000000" w:sz="4" w:space="0"/>
              <w:right w:val="single" w:color="000000" w:sz="4" w:space="0"/>
            </w:tcBorders>
            <w:vAlign w:val="center"/>
          </w:tcPr>
          <w:p w14:paraId="342F8090">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1D63D14E">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196171A2">
            <w:pPr>
              <w:widowControl/>
              <w:jc w:val="center"/>
              <w:rPr>
                <w:rFonts w:ascii="宋体" w:hAnsi="宋体" w:cs="Arial"/>
                <w:kern w:val="0"/>
                <w:sz w:val="18"/>
                <w:szCs w:val="18"/>
              </w:rPr>
            </w:pPr>
            <w:r>
              <w:rPr>
                <w:rFonts w:ascii="宋体" w:hAnsi="宋体" w:cs="Arial"/>
                <w:kern w:val="0"/>
                <w:sz w:val="18"/>
                <w:szCs w:val="18"/>
              </w:rPr>
              <w:t>★对象变更</w:t>
            </w:r>
          </w:p>
        </w:tc>
        <w:tc>
          <w:tcPr>
            <w:tcW w:w="8953" w:type="dxa"/>
            <w:tcBorders>
              <w:top w:val="nil"/>
              <w:left w:val="nil"/>
              <w:bottom w:val="single" w:color="000000" w:sz="4" w:space="0"/>
              <w:right w:val="single" w:color="000000" w:sz="4" w:space="0"/>
            </w:tcBorders>
            <w:vAlign w:val="center"/>
          </w:tcPr>
          <w:p w14:paraId="4A511497">
            <w:pPr>
              <w:widowControl/>
              <w:jc w:val="left"/>
              <w:rPr>
                <w:rFonts w:ascii="宋体" w:hAnsi="宋体" w:cs="Arial"/>
                <w:kern w:val="0"/>
                <w:sz w:val="18"/>
                <w:szCs w:val="18"/>
              </w:rPr>
            </w:pPr>
            <w:r>
              <w:rPr>
                <w:rFonts w:ascii="宋体" w:hAnsi="宋体" w:cs="Arial"/>
                <w:kern w:val="0"/>
                <w:sz w:val="18"/>
                <w:szCs w:val="18"/>
              </w:rPr>
              <w:t>a)支持数据库的创建、删除、更新以及数据库属性的查询；b)支持在线变更表结构、索引；c)支持数据的增加、删除、修改和查询</w:t>
            </w:r>
          </w:p>
        </w:tc>
      </w:tr>
      <w:tr w14:paraId="77B2228E">
        <w:tblPrEx>
          <w:tblCellMar>
            <w:top w:w="0" w:type="dxa"/>
            <w:left w:w="108" w:type="dxa"/>
            <w:bottom w:w="0" w:type="dxa"/>
            <w:right w:w="108" w:type="dxa"/>
          </w:tblCellMar>
        </w:tblPrEx>
        <w:trPr>
          <w:trHeight w:val="1158" w:hRule="atLeast"/>
        </w:trPr>
        <w:tc>
          <w:tcPr>
            <w:tcW w:w="500" w:type="dxa"/>
            <w:tcBorders>
              <w:top w:val="nil"/>
              <w:left w:val="single" w:color="000000" w:sz="4" w:space="0"/>
              <w:bottom w:val="single" w:color="000000" w:sz="4" w:space="0"/>
              <w:right w:val="single" w:color="000000" w:sz="4" w:space="0"/>
            </w:tcBorders>
            <w:vAlign w:val="center"/>
          </w:tcPr>
          <w:p w14:paraId="5C378879">
            <w:pPr>
              <w:widowControl/>
              <w:jc w:val="center"/>
              <w:rPr>
                <w:rFonts w:ascii="宋体" w:hAnsi="宋体" w:cs="Arial"/>
                <w:kern w:val="0"/>
                <w:sz w:val="18"/>
                <w:szCs w:val="18"/>
              </w:rPr>
            </w:pPr>
            <w:r>
              <w:rPr>
                <w:rFonts w:ascii="宋体" w:hAnsi="宋体" w:cs="Arial"/>
                <w:kern w:val="0"/>
                <w:sz w:val="18"/>
                <w:szCs w:val="18"/>
              </w:rPr>
              <w:t xml:space="preserve">29 </w:t>
            </w:r>
          </w:p>
        </w:tc>
        <w:tc>
          <w:tcPr>
            <w:tcW w:w="1100" w:type="dxa"/>
            <w:tcBorders>
              <w:top w:val="nil"/>
              <w:left w:val="nil"/>
              <w:bottom w:val="single" w:color="000000" w:sz="4" w:space="0"/>
              <w:right w:val="single" w:color="000000" w:sz="4" w:space="0"/>
            </w:tcBorders>
            <w:vAlign w:val="center"/>
          </w:tcPr>
          <w:p w14:paraId="597B7421">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7022FE96">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098DB037">
            <w:pPr>
              <w:widowControl/>
              <w:jc w:val="center"/>
              <w:rPr>
                <w:rFonts w:ascii="宋体" w:hAnsi="宋体" w:cs="Arial"/>
                <w:kern w:val="0"/>
                <w:sz w:val="18"/>
                <w:szCs w:val="18"/>
              </w:rPr>
            </w:pPr>
            <w:r>
              <w:rPr>
                <w:rFonts w:ascii="宋体" w:hAnsi="宋体" w:cs="Arial"/>
                <w:kern w:val="0"/>
                <w:sz w:val="18"/>
                <w:szCs w:val="18"/>
              </w:rPr>
              <w:t>查看会话系统表/视图</w:t>
            </w:r>
          </w:p>
        </w:tc>
        <w:tc>
          <w:tcPr>
            <w:tcW w:w="8953" w:type="dxa"/>
            <w:tcBorders>
              <w:top w:val="nil"/>
              <w:left w:val="nil"/>
              <w:bottom w:val="single" w:color="000000" w:sz="4" w:space="0"/>
              <w:right w:val="single" w:color="000000" w:sz="4" w:space="0"/>
            </w:tcBorders>
            <w:vAlign w:val="center"/>
          </w:tcPr>
          <w:p w14:paraId="1BADDADD">
            <w:pPr>
              <w:widowControl/>
              <w:jc w:val="left"/>
              <w:rPr>
                <w:rFonts w:ascii="宋体" w:hAnsi="宋体" w:cs="Arial"/>
                <w:kern w:val="0"/>
                <w:sz w:val="18"/>
                <w:szCs w:val="18"/>
              </w:rPr>
            </w:pPr>
            <w:r>
              <w:rPr>
                <w:rFonts w:ascii="宋体" w:hAnsi="宋体" w:cs="Arial"/>
                <w:kern w:val="0"/>
                <w:sz w:val="18"/>
                <w:szCs w:val="18"/>
              </w:rPr>
              <w:t xml:space="preserve"> a) 提供查看会话标识的视图或图形化管理工具； b) 提供查看进程/线程标识的视图或图形化管理工具； c) 提供查看用户标识的视图或图形化管理工具； d) 提供查看最近的用户请求命令的视图或图形化管理工具； e) 提供查看缺省模式的视图或图形化管理工具； f) 提供查看登录时间/会话状态的视图或图形化管理工具； g) 提供查看会话状态的视图或图形化管理工具； h) 提供查看等待会话的锁信息的视图或图形化管理工具； i) 提供查看等待时间统计信息的视图或图形化管理工具； j) 提供查看使用时间统计信息的视图或图形化管理工具</w:t>
            </w:r>
          </w:p>
        </w:tc>
      </w:tr>
      <w:tr w14:paraId="78842D23">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07E48C5D">
            <w:pPr>
              <w:widowControl/>
              <w:jc w:val="center"/>
              <w:rPr>
                <w:rFonts w:ascii="宋体" w:hAnsi="宋体" w:cs="Arial"/>
                <w:kern w:val="0"/>
                <w:sz w:val="18"/>
                <w:szCs w:val="18"/>
              </w:rPr>
            </w:pPr>
            <w:r>
              <w:rPr>
                <w:rFonts w:ascii="宋体" w:hAnsi="宋体" w:cs="Arial"/>
                <w:kern w:val="0"/>
                <w:sz w:val="18"/>
                <w:szCs w:val="18"/>
              </w:rPr>
              <w:t xml:space="preserve">30 </w:t>
            </w:r>
          </w:p>
        </w:tc>
        <w:tc>
          <w:tcPr>
            <w:tcW w:w="1100" w:type="dxa"/>
            <w:tcBorders>
              <w:top w:val="nil"/>
              <w:left w:val="nil"/>
              <w:bottom w:val="single" w:color="000000" w:sz="4" w:space="0"/>
              <w:right w:val="single" w:color="000000" w:sz="4" w:space="0"/>
            </w:tcBorders>
            <w:vAlign w:val="center"/>
          </w:tcPr>
          <w:p w14:paraId="65E9791D">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48D8499E">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2C8D0472">
            <w:pPr>
              <w:widowControl/>
              <w:jc w:val="center"/>
              <w:rPr>
                <w:rFonts w:ascii="宋体" w:hAnsi="宋体" w:cs="Arial"/>
                <w:kern w:val="0"/>
                <w:sz w:val="18"/>
                <w:szCs w:val="18"/>
              </w:rPr>
            </w:pPr>
            <w:r>
              <w:rPr>
                <w:rFonts w:ascii="宋体" w:hAnsi="宋体" w:cs="Arial"/>
                <w:kern w:val="0"/>
                <w:sz w:val="18"/>
                <w:szCs w:val="18"/>
              </w:rPr>
              <w:t>查看监控连接系统表/视图</w:t>
            </w:r>
          </w:p>
        </w:tc>
        <w:tc>
          <w:tcPr>
            <w:tcW w:w="8953" w:type="dxa"/>
            <w:tcBorders>
              <w:top w:val="nil"/>
              <w:left w:val="nil"/>
              <w:bottom w:val="single" w:color="000000" w:sz="4" w:space="0"/>
              <w:right w:val="single" w:color="000000" w:sz="4" w:space="0"/>
            </w:tcBorders>
            <w:vAlign w:val="center"/>
          </w:tcPr>
          <w:p w14:paraId="38F05F48">
            <w:pPr>
              <w:widowControl/>
              <w:jc w:val="left"/>
              <w:rPr>
                <w:rFonts w:ascii="宋体" w:hAnsi="宋体" w:cs="Arial"/>
                <w:kern w:val="0"/>
                <w:sz w:val="18"/>
                <w:szCs w:val="18"/>
              </w:rPr>
            </w:pPr>
            <w:r>
              <w:rPr>
                <w:rFonts w:ascii="宋体" w:hAnsi="宋体" w:cs="Arial"/>
                <w:kern w:val="0"/>
                <w:sz w:val="18"/>
                <w:szCs w:val="18"/>
              </w:rPr>
              <w:t xml:space="preserve"> a) 提供查看连接标识的视图或图形化管理工具； b) 提供查看连接状态的视图或图形化管理工具； c) 提供查看连接用户的视图或图形化管理工具； d) 提供查看连接类型的视图或图形化管理工具； e) 提供查看当前事务信息的视图或图形化管理工具</w:t>
            </w:r>
          </w:p>
        </w:tc>
      </w:tr>
      <w:tr w14:paraId="6041FA23">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01C48BB5">
            <w:pPr>
              <w:widowControl/>
              <w:jc w:val="center"/>
              <w:rPr>
                <w:rFonts w:ascii="宋体" w:hAnsi="宋体" w:cs="Arial"/>
                <w:kern w:val="0"/>
                <w:sz w:val="18"/>
                <w:szCs w:val="18"/>
              </w:rPr>
            </w:pPr>
            <w:r>
              <w:rPr>
                <w:rFonts w:ascii="宋体" w:hAnsi="宋体" w:cs="Arial"/>
                <w:kern w:val="0"/>
                <w:sz w:val="18"/>
                <w:szCs w:val="18"/>
              </w:rPr>
              <w:t xml:space="preserve">31 </w:t>
            </w:r>
          </w:p>
        </w:tc>
        <w:tc>
          <w:tcPr>
            <w:tcW w:w="1100" w:type="dxa"/>
            <w:tcBorders>
              <w:top w:val="nil"/>
              <w:left w:val="nil"/>
              <w:bottom w:val="single" w:color="000000" w:sz="4" w:space="0"/>
              <w:right w:val="single" w:color="000000" w:sz="4" w:space="0"/>
            </w:tcBorders>
            <w:vAlign w:val="center"/>
          </w:tcPr>
          <w:p w14:paraId="6C30591F">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15D7E736">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16CDD138">
            <w:pPr>
              <w:widowControl/>
              <w:jc w:val="center"/>
              <w:rPr>
                <w:rFonts w:ascii="宋体" w:hAnsi="宋体" w:cs="Arial"/>
                <w:kern w:val="0"/>
                <w:sz w:val="18"/>
                <w:szCs w:val="18"/>
              </w:rPr>
            </w:pPr>
            <w:r>
              <w:rPr>
                <w:rFonts w:ascii="宋体" w:hAnsi="宋体" w:cs="Arial"/>
                <w:kern w:val="0"/>
                <w:sz w:val="18"/>
                <w:szCs w:val="18"/>
              </w:rPr>
              <w:t>异构数据库联机访问</w:t>
            </w:r>
          </w:p>
        </w:tc>
        <w:tc>
          <w:tcPr>
            <w:tcW w:w="8953" w:type="dxa"/>
            <w:tcBorders>
              <w:top w:val="nil"/>
              <w:left w:val="nil"/>
              <w:bottom w:val="single" w:color="000000" w:sz="4" w:space="0"/>
              <w:right w:val="single" w:color="000000" w:sz="4" w:space="0"/>
            </w:tcBorders>
            <w:vAlign w:val="center"/>
          </w:tcPr>
          <w:p w14:paraId="70E01992">
            <w:pPr>
              <w:widowControl/>
              <w:jc w:val="left"/>
              <w:rPr>
                <w:rFonts w:ascii="宋体" w:hAnsi="宋体" w:cs="Arial"/>
                <w:kern w:val="0"/>
                <w:sz w:val="18"/>
                <w:szCs w:val="18"/>
              </w:rPr>
            </w:pPr>
            <w:r>
              <w:rPr>
                <w:rFonts w:ascii="宋体" w:hAnsi="宋体" w:cs="Arial"/>
                <w:kern w:val="0"/>
                <w:sz w:val="18"/>
                <w:szCs w:val="18"/>
              </w:rPr>
              <w:t>提供异构数据库数据联机访问功能</w:t>
            </w:r>
          </w:p>
        </w:tc>
      </w:tr>
      <w:tr w14:paraId="37702921">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5E25F38B">
            <w:pPr>
              <w:widowControl/>
              <w:jc w:val="center"/>
              <w:rPr>
                <w:rFonts w:ascii="宋体" w:hAnsi="宋体" w:cs="Arial"/>
                <w:kern w:val="0"/>
                <w:sz w:val="18"/>
                <w:szCs w:val="18"/>
              </w:rPr>
            </w:pPr>
            <w:r>
              <w:rPr>
                <w:rFonts w:ascii="宋体" w:hAnsi="宋体" w:cs="Arial"/>
                <w:kern w:val="0"/>
                <w:sz w:val="18"/>
                <w:szCs w:val="18"/>
              </w:rPr>
              <w:t xml:space="preserve">32 </w:t>
            </w:r>
          </w:p>
        </w:tc>
        <w:tc>
          <w:tcPr>
            <w:tcW w:w="1100" w:type="dxa"/>
            <w:tcBorders>
              <w:top w:val="nil"/>
              <w:left w:val="nil"/>
              <w:bottom w:val="single" w:color="000000" w:sz="4" w:space="0"/>
              <w:right w:val="single" w:color="000000" w:sz="4" w:space="0"/>
            </w:tcBorders>
            <w:vAlign w:val="center"/>
          </w:tcPr>
          <w:p w14:paraId="70FD0BBC">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36B82F3F">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52F958C8">
            <w:pPr>
              <w:widowControl/>
              <w:jc w:val="center"/>
              <w:rPr>
                <w:rFonts w:ascii="宋体" w:hAnsi="宋体" w:cs="Arial"/>
                <w:kern w:val="0"/>
                <w:sz w:val="18"/>
                <w:szCs w:val="18"/>
              </w:rPr>
            </w:pPr>
            <w:r>
              <w:rPr>
                <w:rFonts w:ascii="宋体" w:hAnsi="宋体" w:cs="Arial"/>
                <w:kern w:val="0"/>
                <w:sz w:val="18"/>
                <w:szCs w:val="18"/>
              </w:rPr>
              <w:t>完整性管理</w:t>
            </w:r>
          </w:p>
        </w:tc>
        <w:tc>
          <w:tcPr>
            <w:tcW w:w="8953" w:type="dxa"/>
            <w:tcBorders>
              <w:top w:val="nil"/>
              <w:left w:val="nil"/>
              <w:bottom w:val="single" w:color="000000" w:sz="4" w:space="0"/>
              <w:right w:val="single" w:color="000000" w:sz="4" w:space="0"/>
            </w:tcBorders>
            <w:vAlign w:val="center"/>
          </w:tcPr>
          <w:p w14:paraId="42CFC2C7">
            <w:pPr>
              <w:widowControl/>
              <w:jc w:val="left"/>
              <w:rPr>
                <w:rFonts w:ascii="宋体" w:hAnsi="宋体" w:cs="Arial"/>
                <w:kern w:val="0"/>
                <w:sz w:val="18"/>
                <w:szCs w:val="18"/>
              </w:rPr>
            </w:pPr>
            <w:r>
              <w:rPr>
                <w:rFonts w:ascii="宋体" w:hAnsi="宋体" w:cs="Arial"/>
                <w:kern w:val="0"/>
                <w:sz w:val="18"/>
                <w:szCs w:val="18"/>
              </w:rPr>
              <w:t xml:space="preserve"> a) 支持验证表存储完整性； b) 支持验证索引存储完整性； c) 支持验证数据库存储结构完整性； d) 支持查看视图定义完整性；e) 支持查看存储过程/函数定义完整性</w:t>
            </w:r>
          </w:p>
        </w:tc>
      </w:tr>
      <w:tr w14:paraId="5963A3E4">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64E6B2D9">
            <w:pPr>
              <w:widowControl/>
              <w:jc w:val="center"/>
              <w:rPr>
                <w:rFonts w:ascii="宋体" w:hAnsi="宋体" w:cs="Arial"/>
                <w:kern w:val="0"/>
                <w:sz w:val="18"/>
                <w:szCs w:val="18"/>
              </w:rPr>
            </w:pPr>
            <w:r>
              <w:rPr>
                <w:rFonts w:ascii="宋体" w:hAnsi="宋体" w:cs="Arial"/>
                <w:kern w:val="0"/>
                <w:sz w:val="18"/>
                <w:szCs w:val="18"/>
              </w:rPr>
              <w:t xml:space="preserve">33 </w:t>
            </w:r>
          </w:p>
        </w:tc>
        <w:tc>
          <w:tcPr>
            <w:tcW w:w="1100" w:type="dxa"/>
            <w:tcBorders>
              <w:top w:val="nil"/>
              <w:left w:val="nil"/>
              <w:bottom w:val="single" w:color="000000" w:sz="4" w:space="0"/>
              <w:right w:val="single" w:color="000000" w:sz="4" w:space="0"/>
            </w:tcBorders>
            <w:vAlign w:val="center"/>
          </w:tcPr>
          <w:p w14:paraId="01682333">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restart"/>
            <w:tcBorders>
              <w:top w:val="nil"/>
              <w:left w:val="single" w:color="000000" w:sz="4" w:space="0"/>
              <w:bottom w:val="single" w:color="000000" w:sz="4" w:space="0"/>
              <w:right w:val="single" w:color="000000" w:sz="4" w:space="0"/>
            </w:tcBorders>
            <w:vAlign w:val="center"/>
          </w:tcPr>
          <w:p w14:paraId="131B1261">
            <w:pPr>
              <w:widowControl/>
              <w:jc w:val="center"/>
              <w:rPr>
                <w:rFonts w:ascii="宋体" w:hAnsi="宋体" w:cs="Arial"/>
                <w:kern w:val="0"/>
                <w:sz w:val="18"/>
                <w:szCs w:val="18"/>
              </w:rPr>
            </w:pPr>
            <w:r>
              <w:rPr>
                <w:rFonts w:ascii="宋体" w:hAnsi="宋体" w:cs="Arial"/>
                <w:kern w:val="0"/>
                <w:sz w:val="18"/>
                <w:szCs w:val="18"/>
              </w:rPr>
              <w:t>事务能力</w:t>
            </w:r>
          </w:p>
        </w:tc>
        <w:tc>
          <w:tcPr>
            <w:tcW w:w="1100" w:type="dxa"/>
            <w:tcBorders>
              <w:top w:val="nil"/>
              <w:left w:val="nil"/>
              <w:bottom w:val="single" w:color="000000" w:sz="4" w:space="0"/>
              <w:right w:val="single" w:color="000000" w:sz="4" w:space="0"/>
            </w:tcBorders>
            <w:vAlign w:val="center"/>
          </w:tcPr>
          <w:p w14:paraId="109CC538">
            <w:pPr>
              <w:widowControl/>
              <w:jc w:val="center"/>
              <w:rPr>
                <w:rFonts w:ascii="宋体" w:hAnsi="宋体" w:cs="Arial"/>
                <w:kern w:val="0"/>
                <w:sz w:val="18"/>
                <w:szCs w:val="18"/>
              </w:rPr>
            </w:pPr>
            <w:r>
              <w:rPr>
                <w:rFonts w:ascii="宋体" w:hAnsi="宋体" w:cs="Arial"/>
                <w:kern w:val="0"/>
                <w:sz w:val="18"/>
                <w:szCs w:val="18"/>
              </w:rPr>
              <w:t>★事务基础特性</w:t>
            </w:r>
          </w:p>
        </w:tc>
        <w:tc>
          <w:tcPr>
            <w:tcW w:w="8953" w:type="dxa"/>
            <w:tcBorders>
              <w:top w:val="nil"/>
              <w:left w:val="nil"/>
              <w:bottom w:val="single" w:color="000000" w:sz="4" w:space="0"/>
              <w:right w:val="single" w:color="000000" w:sz="4" w:space="0"/>
            </w:tcBorders>
            <w:vAlign w:val="center"/>
          </w:tcPr>
          <w:p w14:paraId="6946BA3D">
            <w:pPr>
              <w:widowControl/>
              <w:jc w:val="left"/>
              <w:rPr>
                <w:rFonts w:ascii="宋体" w:hAnsi="宋体" w:cs="Arial"/>
                <w:kern w:val="0"/>
                <w:sz w:val="18"/>
                <w:szCs w:val="18"/>
              </w:rPr>
            </w:pPr>
            <w:r>
              <w:rPr>
                <w:rFonts w:ascii="宋体" w:hAnsi="宋体" w:cs="Arial"/>
                <w:kern w:val="0"/>
                <w:sz w:val="18"/>
                <w:szCs w:val="18"/>
              </w:rPr>
              <w:t>支持事务的ACID</w:t>
            </w:r>
          </w:p>
        </w:tc>
      </w:tr>
      <w:tr w14:paraId="65C76293">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5E934F5F">
            <w:pPr>
              <w:widowControl/>
              <w:jc w:val="center"/>
              <w:rPr>
                <w:rFonts w:ascii="宋体" w:hAnsi="宋体" w:cs="Arial"/>
                <w:kern w:val="0"/>
                <w:sz w:val="18"/>
                <w:szCs w:val="18"/>
              </w:rPr>
            </w:pPr>
            <w:r>
              <w:rPr>
                <w:rFonts w:ascii="宋体" w:hAnsi="宋体" w:cs="Arial"/>
                <w:kern w:val="0"/>
                <w:sz w:val="18"/>
                <w:szCs w:val="18"/>
              </w:rPr>
              <w:t xml:space="preserve">34 </w:t>
            </w:r>
          </w:p>
        </w:tc>
        <w:tc>
          <w:tcPr>
            <w:tcW w:w="1100" w:type="dxa"/>
            <w:tcBorders>
              <w:top w:val="nil"/>
              <w:left w:val="nil"/>
              <w:bottom w:val="single" w:color="000000" w:sz="4" w:space="0"/>
              <w:right w:val="single" w:color="000000" w:sz="4" w:space="0"/>
            </w:tcBorders>
            <w:vAlign w:val="center"/>
          </w:tcPr>
          <w:p w14:paraId="5458DEC8">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70676E61">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4B026344">
            <w:pPr>
              <w:widowControl/>
              <w:jc w:val="center"/>
              <w:rPr>
                <w:rFonts w:ascii="宋体" w:hAnsi="宋体" w:cs="Arial"/>
                <w:kern w:val="0"/>
                <w:sz w:val="18"/>
                <w:szCs w:val="18"/>
              </w:rPr>
            </w:pPr>
            <w:r>
              <w:rPr>
                <w:rFonts w:ascii="宋体" w:hAnsi="宋体" w:cs="Arial"/>
                <w:kern w:val="0"/>
                <w:sz w:val="18"/>
                <w:szCs w:val="18"/>
              </w:rPr>
              <w:t>★死锁检测与处理</w:t>
            </w:r>
          </w:p>
        </w:tc>
        <w:tc>
          <w:tcPr>
            <w:tcW w:w="8953" w:type="dxa"/>
            <w:tcBorders>
              <w:top w:val="nil"/>
              <w:left w:val="nil"/>
              <w:bottom w:val="single" w:color="000000" w:sz="4" w:space="0"/>
              <w:right w:val="single" w:color="000000" w:sz="4" w:space="0"/>
            </w:tcBorders>
            <w:vAlign w:val="center"/>
          </w:tcPr>
          <w:p w14:paraId="35A7146D">
            <w:pPr>
              <w:widowControl/>
              <w:jc w:val="left"/>
              <w:rPr>
                <w:rFonts w:ascii="宋体" w:hAnsi="宋体" w:cs="Arial"/>
                <w:kern w:val="0"/>
                <w:sz w:val="18"/>
                <w:szCs w:val="18"/>
              </w:rPr>
            </w:pPr>
            <w:r>
              <w:rPr>
                <w:rFonts w:ascii="宋体" w:hAnsi="宋体" w:cs="Arial"/>
                <w:kern w:val="0"/>
                <w:sz w:val="18"/>
                <w:szCs w:val="18"/>
              </w:rPr>
              <w:t xml:space="preserve"> a) 在并发执行过程中，能检测到死锁； b) 提供解决全局死锁的机制； c) 具备死锁处理能力； d) 具备死锁超时回滚的能力； e) 具备死锁检测与处理记录功能</w:t>
            </w:r>
          </w:p>
        </w:tc>
      </w:tr>
      <w:tr w14:paraId="360B6B6E">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2D1D9E76">
            <w:pPr>
              <w:widowControl/>
              <w:jc w:val="center"/>
              <w:rPr>
                <w:rFonts w:ascii="宋体" w:hAnsi="宋体" w:cs="Arial"/>
                <w:kern w:val="0"/>
                <w:sz w:val="18"/>
                <w:szCs w:val="18"/>
              </w:rPr>
            </w:pPr>
            <w:r>
              <w:rPr>
                <w:rFonts w:ascii="宋体" w:hAnsi="宋体" w:cs="Arial"/>
                <w:kern w:val="0"/>
                <w:sz w:val="18"/>
                <w:szCs w:val="18"/>
              </w:rPr>
              <w:t xml:space="preserve">35 </w:t>
            </w:r>
          </w:p>
        </w:tc>
        <w:tc>
          <w:tcPr>
            <w:tcW w:w="1100" w:type="dxa"/>
            <w:tcBorders>
              <w:top w:val="nil"/>
              <w:left w:val="nil"/>
              <w:bottom w:val="single" w:color="000000" w:sz="4" w:space="0"/>
              <w:right w:val="single" w:color="000000" w:sz="4" w:space="0"/>
            </w:tcBorders>
            <w:vAlign w:val="center"/>
          </w:tcPr>
          <w:p w14:paraId="6454CE69">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tcBorders>
              <w:top w:val="nil"/>
              <w:left w:val="nil"/>
              <w:bottom w:val="single" w:color="000000" w:sz="4" w:space="0"/>
              <w:right w:val="single" w:color="000000" w:sz="4" w:space="0"/>
            </w:tcBorders>
            <w:vAlign w:val="center"/>
          </w:tcPr>
          <w:p w14:paraId="247F7F2B">
            <w:pPr>
              <w:widowControl/>
              <w:jc w:val="center"/>
              <w:rPr>
                <w:rFonts w:ascii="宋体" w:hAnsi="宋体" w:cs="Arial"/>
                <w:kern w:val="0"/>
                <w:sz w:val="18"/>
                <w:szCs w:val="18"/>
              </w:rPr>
            </w:pPr>
            <w:r>
              <w:rPr>
                <w:rFonts w:ascii="宋体" w:hAnsi="宋体" w:cs="Arial"/>
                <w:kern w:val="0"/>
                <w:sz w:val="18"/>
                <w:szCs w:val="18"/>
              </w:rPr>
              <w:t>运维</w:t>
            </w:r>
          </w:p>
        </w:tc>
        <w:tc>
          <w:tcPr>
            <w:tcW w:w="1100" w:type="dxa"/>
            <w:tcBorders>
              <w:top w:val="nil"/>
              <w:left w:val="nil"/>
              <w:bottom w:val="single" w:color="000000" w:sz="4" w:space="0"/>
              <w:right w:val="single" w:color="000000" w:sz="4" w:space="0"/>
            </w:tcBorders>
            <w:vAlign w:val="center"/>
          </w:tcPr>
          <w:p w14:paraId="4A3E531C">
            <w:pPr>
              <w:widowControl/>
              <w:jc w:val="center"/>
              <w:rPr>
                <w:rFonts w:ascii="宋体" w:hAnsi="宋体" w:cs="Arial"/>
                <w:kern w:val="0"/>
                <w:sz w:val="18"/>
                <w:szCs w:val="18"/>
              </w:rPr>
            </w:pPr>
            <w:r>
              <w:rPr>
                <w:rFonts w:ascii="宋体" w:hAnsi="宋体" w:cs="Arial"/>
                <w:kern w:val="0"/>
                <w:sz w:val="18"/>
                <w:szCs w:val="18"/>
              </w:rPr>
              <w:t>★运行时统计信息基础功能</w:t>
            </w:r>
          </w:p>
        </w:tc>
        <w:tc>
          <w:tcPr>
            <w:tcW w:w="8953" w:type="dxa"/>
            <w:tcBorders>
              <w:top w:val="nil"/>
              <w:left w:val="nil"/>
              <w:bottom w:val="single" w:color="000000" w:sz="4" w:space="0"/>
              <w:right w:val="single" w:color="000000" w:sz="4" w:space="0"/>
            </w:tcBorders>
            <w:vAlign w:val="center"/>
          </w:tcPr>
          <w:p w14:paraId="540745BE">
            <w:pPr>
              <w:widowControl/>
              <w:jc w:val="left"/>
              <w:rPr>
                <w:rFonts w:ascii="宋体" w:hAnsi="宋体" w:cs="Arial"/>
                <w:kern w:val="0"/>
                <w:sz w:val="18"/>
                <w:szCs w:val="18"/>
              </w:rPr>
            </w:pPr>
            <w:r>
              <w:rPr>
                <w:rFonts w:ascii="宋体" w:hAnsi="宋体" w:cs="Arial"/>
                <w:kern w:val="0"/>
                <w:sz w:val="18"/>
                <w:szCs w:val="18"/>
              </w:rPr>
              <w:t>a）数据库慢 SQL 统计： 1）支持统计 SQL 语句； 2）支持统计用户名； 3）支持统计数据库名； 4）支持统计执行时长； b）数据库性能状态统计： 1）支持统计每秒事务数和查询数； 2）支持统计 SQL 平均响应时间； 3）支持统计高频 SQL</w:t>
            </w:r>
          </w:p>
        </w:tc>
      </w:tr>
      <w:tr w14:paraId="4B1F4121">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6F2539E4">
            <w:pPr>
              <w:widowControl/>
              <w:jc w:val="center"/>
              <w:rPr>
                <w:rFonts w:ascii="宋体" w:hAnsi="宋体" w:cs="Arial"/>
                <w:kern w:val="0"/>
                <w:sz w:val="18"/>
                <w:szCs w:val="18"/>
              </w:rPr>
            </w:pPr>
            <w:r>
              <w:rPr>
                <w:rFonts w:ascii="宋体" w:hAnsi="宋体" w:cs="Arial"/>
                <w:kern w:val="0"/>
                <w:sz w:val="18"/>
                <w:szCs w:val="18"/>
              </w:rPr>
              <w:t xml:space="preserve">36 </w:t>
            </w:r>
          </w:p>
        </w:tc>
        <w:tc>
          <w:tcPr>
            <w:tcW w:w="1100" w:type="dxa"/>
            <w:tcBorders>
              <w:top w:val="nil"/>
              <w:left w:val="nil"/>
              <w:bottom w:val="single" w:color="000000" w:sz="4" w:space="0"/>
              <w:right w:val="single" w:color="000000" w:sz="4" w:space="0"/>
            </w:tcBorders>
            <w:vAlign w:val="center"/>
          </w:tcPr>
          <w:p w14:paraId="022AE55B">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restart"/>
            <w:tcBorders>
              <w:top w:val="nil"/>
              <w:left w:val="single" w:color="000000" w:sz="4" w:space="0"/>
              <w:bottom w:val="single" w:color="000000" w:sz="4" w:space="0"/>
              <w:right w:val="single" w:color="000000" w:sz="4" w:space="0"/>
            </w:tcBorders>
            <w:vAlign w:val="center"/>
          </w:tcPr>
          <w:p w14:paraId="42AD7B8C">
            <w:pPr>
              <w:widowControl/>
              <w:jc w:val="center"/>
              <w:rPr>
                <w:rFonts w:ascii="宋体" w:hAnsi="宋体" w:cs="Arial"/>
                <w:kern w:val="0"/>
                <w:sz w:val="18"/>
                <w:szCs w:val="18"/>
              </w:rPr>
            </w:pPr>
            <w:r>
              <w:rPr>
                <w:rFonts w:ascii="宋体" w:hAnsi="宋体" w:cs="Arial"/>
                <w:kern w:val="0"/>
                <w:sz w:val="18"/>
                <w:szCs w:val="18"/>
              </w:rPr>
              <w:t>运维</w:t>
            </w:r>
          </w:p>
        </w:tc>
        <w:tc>
          <w:tcPr>
            <w:tcW w:w="1100" w:type="dxa"/>
            <w:tcBorders>
              <w:top w:val="nil"/>
              <w:left w:val="nil"/>
              <w:bottom w:val="single" w:color="000000" w:sz="4" w:space="0"/>
              <w:right w:val="single" w:color="000000" w:sz="4" w:space="0"/>
            </w:tcBorders>
            <w:vAlign w:val="center"/>
          </w:tcPr>
          <w:p w14:paraId="14697924">
            <w:pPr>
              <w:widowControl/>
              <w:jc w:val="center"/>
              <w:rPr>
                <w:rFonts w:ascii="宋体" w:hAnsi="宋体" w:cs="Arial"/>
                <w:kern w:val="0"/>
                <w:sz w:val="18"/>
                <w:szCs w:val="18"/>
              </w:rPr>
            </w:pPr>
            <w:r>
              <w:rPr>
                <w:rFonts w:ascii="宋体" w:hAnsi="宋体" w:cs="Arial"/>
                <w:kern w:val="0"/>
                <w:sz w:val="18"/>
                <w:szCs w:val="18"/>
              </w:rPr>
              <w:t>运行时统计信息增强功能</w:t>
            </w:r>
          </w:p>
        </w:tc>
        <w:tc>
          <w:tcPr>
            <w:tcW w:w="8953" w:type="dxa"/>
            <w:tcBorders>
              <w:top w:val="nil"/>
              <w:left w:val="nil"/>
              <w:bottom w:val="single" w:color="000000" w:sz="4" w:space="0"/>
              <w:right w:val="single" w:color="000000" w:sz="4" w:space="0"/>
            </w:tcBorders>
            <w:vAlign w:val="center"/>
          </w:tcPr>
          <w:p w14:paraId="2D5904F0">
            <w:pPr>
              <w:widowControl/>
              <w:jc w:val="left"/>
              <w:rPr>
                <w:rFonts w:ascii="宋体" w:hAnsi="宋体" w:cs="Arial"/>
                <w:kern w:val="0"/>
                <w:sz w:val="18"/>
                <w:szCs w:val="18"/>
              </w:rPr>
            </w:pPr>
            <w:r>
              <w:rPr>
                <w:rFonts w:ascii="宋体" w:hAnsi="宋体" w:cs="Arial"/>
                <w:kern w:val="0"/>
                <w:sz w:val="18"/>
                <w:szCs w:val="18"/>
              </w:rPr>
              <w:t>a)支持统计集群节点 CPU 使用情况；b)支持统计集群节点内存使用情况；c)支持统计集群节点磁盘使用情况；d)支持统计集群节点网络使用情况</w:t>
            </w:r>
          </w:p>
        </w:tc>
      </w:tr>
      <w:tr w14:paraId="5A626E0C">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091275F2">
            <w:pPr>
              <w:widowControl/>
              <w:jc w:val="center"/>
              <w:rPr>
                <w:rFonts w:ascii="宋体" w:hAnsi="宋体" w:cs="Arial"/>
                <w:kern w:val="0"/>
                <w:sz w:val="18"/>
                <w:szCs w:val="18"/>
              </w:rPr>
            </w:pPr>
            <w:r>
              <w:rPr>
                <w:rFonts w:ascii="宋体" w:hAnsi="宋体" w:cs="Arial"/>
                <w:kern w:val="0"/>
                <w:sz w:val="18"/>
                <w:szCs w:val="18"/>
              </w:rPr>
              <w:t xml:space="preserve">37 </w:t>
            </w:r>
          </w:p>
        </w:tc>
        <w:tc>
          <w:tcPr>
            <w:tcW w:w="1100" w:type="dxa"/>
            <w:tcBorders>
              <w:top w:val="nil"/>
              <w:left w:val="nil"/>
              <w:bottom w:val="single" w:color="000000" w:sz="4" w:space="0"/>
              <w:right w:val="single" w:color="000000" w:sz="4" w:space="0"/>
            </w:tcBorders>
            <w:vAlign w:val="center"/>
          </w:tcPr>
          <w:p w14:paraId="2443680F">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48FBC231">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7D55BB39">
            <w:pPr>
              <w:widowControl/>
              <w:jc w:val="center"/>
              <w:rPr>
                <w:rFonts w:ascii="宋体" w:hAnsi="宋体" w:cs="Arial"/>
                <w:kern w:val="0"/>
                <w:sz w:val="18"/>
                <w:szCs w:val="18"/>
              </w:rPr>
            </w:pPr>
            <w:r>
              <w:rPr>
                <w:rFonts w:ascii="宋体" w:hAnsi="宋体" w:cs="Arial"/>
                <w:kern w:val="0"/>
                <w:sz w:val="18"/>
                <w:szCs w:val="18"/>
              </w:rPr>
              <w:t>★日志</w:t>
            </w:r>
          </w:p>
        </w:tc>
        <w:tc>
          <w:tcPr>
            <w:tcW w:w="8953" w:type="dxa"/>
            <w:tcBorders>
              <w:top w:val="nil"/>
              <w:left w:val="nil"/>
              <w:bottom w:val="single" w:color="000000" w:sz="4" w:space="0"/>
              <w:right w:val="single" w:color="000000" w:sz="4" w:space="0"/>
            </w:tcBorders>
            <w:vAlign w:val="center"/>
          </w:tcPr>
          <w:p w14:paraId="5CFC6959">
            <w:pPr>
              <w:widowControl/>
              <w:jc w:val="left"/>
              <w:rPr>
                <w:rFonts w:ascii="宋体" w:hAnsi="宋体" w:cs="Arial"/>
                <w:kern w:val="0"/>
                <w:sz w:val="18"/>
                <w:szCs w:val="18"/>
              </w:rPr>
            </w:pPr>
            <w:r>
              <w:rPr>
                <w:rFonts w:ascii="宋体" w:hAnsi="宋体" w:cs="Arial"/>
                <w:kern w:val="0"/>
                <w:sz w:val="18"/>
                <w:szCs w:val="18"/>
              </w:rPr>
              <w:t xml:space="preserve"> a) 具备对各类事件进行日志记录的功能，可通过日志查看操作内容、执行过程和结果； b) 具备提示和警告功能，提示或警告数据库结构修改、数据库运行配置修改等重要操作；c) 日志完整正确，并且提供可读文本的形式；d) 支持中文日志</w:t>
            </w:r>
          </w:p>
        </w:tc>
      </w:tr>
      <w:tr w14:paraId="53692CC4">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0D249FB9">
            <w:pPr>
              <w:widowControl/>
              <w:jc w:val="center"/>
              <w:rPr>
                <w:rFonts w:ascii="宋体" w:hAnsi="宋体" w:cs="Arial"/>
                <w:kern w:val="0"/>
                <w:sz w:val="18"/>
                <w:szCs w:val="18"/>
              </w:rPr>
            </w:pPr>
            <w:r>
              <w:rPr>
                <w:rFonts w:ascii="宋体" w:hAnsi="宋体" w:cs="Arial"/>
                <w:kern w:val="0"/>
                <w:sz w:val="18"/>
                <w:szCs w:val="18"/>
              </w:rPr>
              <w:t xml:space="preserve">38 </w:t>
            </w:r>
          </w:p>
        </w:tc>
        <w:tc>
          <w:tcPr>
            <w:tcW w:w="1100" w:type="dxa"/>
            <w:tcBorders>
              <w:top w:val="nil"/>
              <w:left w:val="nil"/>
              <w:bottom w:val="single" w:color="000000" w:sz="4" w:space="0"/>
              <w:right w:val="single" w:color="000000" w:sz="4" w:space="0"/>
            </w:tcBorders>
            <w:vAlign w:val="center"/>
          </w:tcPr>
          <w:p w14:paraId="51103C1F">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76DF48C6">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6EF7DA20">
            <w:pPr>
              <w:widowControl/>
              <w:jc w:val="center"/>
              <w:rPr>
                <w:rFonts w:ascii="宋体" w:hAnsi="宋体" w:cs="Arial"/>
                <w:kern w:val="0"/>
                <w:sz w:val="18"/>
                <w:szCs w:val="18"/>
              </w:rPr>
            </w:pPr>
            <w:r>
              <w:rPr>
                <w:rFonts w:ascii="宋体" w:hAnsi="宋体" w:cs="Arial"/>
                <w:kern w:val="0"/>
                <w:sz w:val="18"/>
                <w:szCs w:val="18"/>
              </w:rPr>
              <w:t>★远程运维</w:t>
            </w:r>
          </w:p>
        </w:tc>
        <w:tc>
          <w:tcPr>
            <w:tcW w:w="8953" w:type="dxa"/>
            <w:tcBorders>
              <w:top w:val="nil"/>
              <w:left w:val="nil"/>
              <w:bottom w:val="single" w:color="000000" w:sz="4" w:space="0"/>
              <w:right w:val="single" w:color="000000" w:sz="4" w:space="0"/>
            </w:tcBorders>
            <w:vAlign w:val="center"/>
          </w:tcPr>
          <w:p w14:paraId="3577E3C1">
            <w:pPr>
              <w:widowControl/>
              <w:jc w:val="left"/>
              <w:rPr>
                <w:rFonts w:ascii="宋体" w:hAnsi="宋体" w:cs="Arial"/>
                <w:kern w:val="0"/>
                <w:sz w:val="18"/>
                <w:szCs w:val="18"/>
              </w:rPr>
            </w:pPr>
            <w:r>
              <w:rPr>
                <w:rFonts w:ascii="宋体" w:hAnsi="宋体" w:cs="Arial"/>
                <w:kern w:val="0"/>
                <w:sz w:val="18"/>
                <w:szCs w:val="18"/>
              </w:rPr>
              <w:t>具备远程维护功能</w:t>
            </w:r>
          </w:p>
        </w:tc>
      </w:tr>
      <w:tr w14:paraId="13E21ADD">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04E74A40">
            <w:pPr>
              <w:widowControl/>
              <w:jc w:val="center"/>
              <w:rPr>
                <w:rFonts w:ascii="宋体" w:hAnsi="宋体" w:cs="Arial"/>
                <w:kern w:val="0"/>
                <w:sz w:val="18"/>
                <w:szCs w:val="18"/>
              </w:rPr>
            </w:pPr>
            <w:r>
              <w:rPr>
                <w:rFonts w:ascii="宋体" w:hAnsi="宋体" w:cs="Arial"/>
                <w:kern w:val="0"/>
                <w:sz w:val="18"/>
                <w:szCs w:val="18"/>
              </w:rPr>
              <w:t xml:space="preserve">39 </w:t>
            </w:r>
          </w:p>
        </w:tc>
        <w:tc>
          <w:tcPr>
            <w:tcW w:w="1100" w:type="dxa"/>
            <w:tcBorders>
              <w:top w:val="nil"/>
              <w:left w:val="nil"/>
              <w:bottom w:val="single" w:color="000000" w:sz="4" w:space="0"/>
              <w:right w:val="single" w:color="000000" w:sz="4" w:space="0"/>
            </w:tcBorders>
            <w:vAlign w:val="center"/>
          </w:tcPr>
          <w:p w14:paraId="38183412">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13926092">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718F8632">
            <w:pPr>
              <w:widowControl/>
              <w:jc w:val="center"/>
              <w:rPr>
                <w:rFonts w:ascii="宋体" w:hAnsi="宋体" w:cs="Arial"/>
                <w:kern w:val="0"/>
                <w:sz w:val="18"/>
                <w:szCs w:val="18"/>
              </w:rPr>
            </w:pPr>
            <w:r>
              <w:rPr>
                <w:rFonts w:ascii="宋体" w:hAnsi="宋体" w:cs="Arial"/>
                <w:kern w:val="0"/>
                <w:sz w:val="18"/>
                <w:szCs w:val="18"/>
              </w:rPr>
              <w:t>★报警</w:t>
            </w:r>
          </w:p>
        </w:tc>
        <w:tc>
          <w:tcPr>
            <w:tcW w:w="8953" w:type="dxa"/>
            <w:tcBorders>
              <w:top w:val="nil"/>
              <w:left w:val="nil"/>
              <w:bottom w:val="single" w:color="000000" w:sz="4" w:space="0"/>
              <w:right w:val="single" w:color="000000" w:sz="4" w:space="0"/>
            </w:tcBorders>
            <w:vAlign w:val="center"/>
          </w:tcPr>
          <w:p w14:paraId="2A1C1F1B">
            <w:pPr>
              <w:widowControl/>
              <w:jc w:val="left"/>
              <w:rPr>
                <w:rFonts w:ascii="宋体" w:hAnsi="宋体" w:cs="Arial"/>
                <w:kern w:val="0"/>
                <w:sz w:val="18"/>
                <w:szCs w:val="18"/>
              </w:rPr>
            </w:pPr>
            <w:r>
              <w:rPr>
                <w:rFonts w:ascii="宋体" w:hAnsi="宋体" w:cs="Arial"/>
                <w:kern w:val="0"/>
                <w:sz w:val="18"/>
                <w:szCs w:val="18"/>
              </w:rPr>
              <w:t xml:space="preserve"> a) 厂商提供通知管理员的方法或工具； b) 支持设置报警基线，数据库运行中遇到重要事件、异常事件和状态、超过报警阈值等情况时，通知管理员； c) 提供报警 API； d) 报警发生时，支持报警信息的实时展示</w:t>
            </w:r>
          </w:p>
        </w:tc>
      </w:tr>
      <w:tr w14:paraId="4D43C409">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642D51C5">
            <w:pPr>
              <w:widowControl/>
              <w:jc w:val="center"/>
              <w:rPr>
                <w:rFonts w:ascii="宋体" w:hAnsi="宋体" w:cs="Arial"/>
                <w:kern w:val="0"/>
                <w:sz w:val="18"/>
                <w:szCs w:val="18"/>
              </w:rPr>
            </w:pPr>
            <w:r>
              <w:rPr>
                <w:rFonts w:ascii="宋体" w:hAnsi="宋体" w:cs="Arial"/>
                <w:kern w:val="0"/>
                <w:sz w:val="18"/>
                <w:szCs w:val="18"/>
              </w:rPr>
              <w:t xml:space="preserve">40 </w:t>
            </w:r>
          </w:p>
        </w:tc>
        <w:tc>
          <w:tcPr>
            <w:tcW w:w="1100" w:type="dxa"/>
            <w:tcBorders>
              <w:top w:val="nil"/>
              <w:left w:val="nil"/>
              <w:bottom w:val="single" w:color="000000" w:sz="4" w:space="0"/>
              <w:right w:val="single" w:color="000000" w:sz="4" w:space="0"/>
            </w:tcBorders>
            <w:vAlign w:val="center"/>
          </w:tcPr>
          <w:p w14:paraId="39A6E954">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53521188">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0E777C54">
            <w:pPr>
              <w:widowControl/>
              <w:jc w:val="center"/>
              <w:rPr>
                <w:rFonts w:ascii="宋体" w:hAnsi="宋体" w:cs="Arial"/>
                <w:kern w:val="0"/>
                <w:sz w:val="18"/>
                <w:szCs w:val="18"/>
              </w:rPr>
            </w:pPr>
            <w:r>
              <w:rPr>
                <w:rFonts w:ascii="宋体" w:hAnsi="宋体" w:cs="Arial"/>
                <w:kern w:val="0"/>
                <w:sz w:val="18"/>
                <w:szCs w:val="18"/>
              </w:rPr>
              <w:t>SQL 监测与优化建议</w:t>
            </w:r>
          </w:p>
        </w:tc>
        <w:tc>
          <w:tcPr>
            <w:tcW w:w="8953" w:type="dxa"/>
            <w:tcBorders>
              <w:top w:val="nil"/>
              <w:left w:val="nil"/>
              <w:bottom w:val="single" w:color="000000" w:sz="4" w:space="0"/>
              <w:right w:val="single" w:color="000000" w:sz="4" w:space="0"/>
            </w:tcBorders>
            <w:vAlign w:val="center"/>
          </w:tcPr>
          <w:p w14:paraId="18E967E7">
            <w:pPr>
              <w:widowControl/>
              <w:jc w:val="left"/>
              <w:rPr>
                <w:rFonts w:ascii="宋体" w:hAnsi="宋体" w:cs="Arial"/>
                <w:kern w:val="0"/>
                <w:sz w:val="18"/>
                <w:szCs w:val="18"/>
              </w:rPr>
            </w:pPr>
            <w:r>
              <w:rPr>
                <w:rFonts w:ascii="宋体" w:hAnsi="宋体" w:cs="Arial"/>
                <w:kern w:val="0"/>
                <w:sz w:val="18"/>
                <w:szCs w:val="18"/>
              </w:rPr>
              <w:t xml:space="preserve"> a) 实时监测 SQL 执行过程中资源使用情况； b) 提供查询计划的缓存管理功能； c) 提供 SQL 改写的优化建议</w:t>
            </w:r>
          </w:p>
        </w:tc>
      </w:tr>
      <w:tr w14:paraId="03CCE1A6">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3BC4732C">
            <w:pPr>
              <w:widowControl/>
              <w:jc w:val="center"/>
              <w:rPr>
                <w:rFonts w:ascii="宋体" w:hAnsi="宋体" w:cs="Arial"/>
                <w:kern w:val="0"/>
                <w:sz w:val="18"/>
                <w:szCs w:val="18"/>
              </w:rPr>
            </w:pPr>
            <w:r>
              <w:rPr>
                <w:rFonts w:ascii="宋体" w:hAnsi="宋体" w:cs="Arial"/>
                <w:kern w:val="0"/>
                <w:sz w:val="18"/>
                <w:szCs w:val="18"/>
              </w:rPr>
              <w:t xml:space="preserve">41 </w:t>
            </w:r>
          </w:p>
        </w:tc>
        <w:tc>
          <w:tcPr>
            <w:tcW w:w="1100" w:type="dxa"/>
            <w:tcBorders>
              <w:top w:val="nil"/>
              <w:left w:val="nil"/>
              <w:bottom w:val="single" w:color="000000" w:sz="4" w:space="0"/>
              <w:right w:val="single" w:color="000000" w:sz="4" w:space="0"/>
            </w:tcBorders>
            <w:vAlign w:val="center"/>
          </w:tcPr>
          <w:p w14:paraId="7A833A05">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restart"/>
            <w:tcBorders>
              <w:top w:val="nil"/>
              <w:left w:val="single" w:color="000000" w:sz="4" w:space="0"/>
              <w:bottom w:val="single" w:color="000000" w:sz="4" w:space="0"/>
              <w:right w:val="single" w:color="000000" w:sz="4" w:space="0"/>
            </w:tcBorders>
            <w:vAlign w:val="center"/>
          </w:tcPr>
          <w:p w14:paraId="1755C642">
            <w:pPr>
              <w:widowControl/>
              <w:jc w:val="center"/>
              <w:rPr>
                <w:rFonts w:ascii="宋体" w:hAnsi="宋体" w:cs="Arial"/>
                <w:kern w:val="0"/>
                <w:sz w:val="18"/>
                <w:szCs w:val="18"/>
              </w:rPr>
            </w:pPr>
            <w:r>
              <w:rPr>
                <w:rFonts w:ascii="宋体" w:hAnsi="宋体" w:cs="Arial"/>
                <w:kern w:val="0"/>
                <w:sz w:val="18"/>
                <w:szCs w:val="18"/>
              </w:rPr>
              <w:t>迁移</w:t>
            </w:r>
          </w:p>
        </w:tc>
        <w:tc>
          <w:tcPr>
            <w:tcW w:w="1100" w:type="dxa"/>
            <w:tcBorders>
              <w:top w:val="nil"/>
              <w:left w:val="nil"/>
              <w:bottom w:val="single" w:color="000000" w:sz="4" w:space="0"/>
              <w:right w:val="single" w:color="000000" w:sz="4" w:space="0"/>
            </w:tcBorders>
            <w:vAlign w:val="center"/>
          </w:tcPr>
          <w:p w14:paraId="50A38FF1">
            <w:pPr>
              <w:widowControl/>
              <w:jc w:val="center"/>
              <w:rPr>
                <w:rFonts w:ascii="宋体" w:hAnsi="宋体" w:cs="Arial"/>
                <w:kern w:val="0"/>
                <w:sz w:val="18"/>
                <w:szCs w:val="18"/>
              </w:rPr>
            </w:pPr>
            <w:r>
              <w:rPr>
                <w:rFonts w:ascii="宋体" w:hAnsi="宋体" w:cs="Arial"/>
                <w:kern w:val="0"/>
                <w:sz w:val="18"/>
                <w:szCs w:val="18"/>
              </w:rPr>
              <w:t>应用迁移</w:t>
            </w:r>
          </w:p>
        </w:tc>
        <w:tc>
          <w:tcPr>
            <w:tcW w:w="8953" w:type="dxa"/>
            <w:tcBorders>
              <w:top w:val="nil"/>
              <w:left w:val="nil"/>
              <w:bottom w:val="single" w:color="000000" w:sz="4" w:space="0"/>
              <w:right w:val="single" w:color="000000" w:sz="4" w:space="0"/>
            </w:tcBorders>
            <w:vAlign w:val="center"/>
          </w:tcPr>
          <w:p w14:paraId="2DD5F2B5">
            <w:pPr>
              <w:widowControl/>
              <w:jc w:val="left"/>
              <w:rPr>
                <w:rFonts w:ascii="宋体" w:hAnsi="宋体" w:cs="Arial"/>
                <w:kern w:val="0"/>
                <w:sz w:val="18"/>
                <w:szCs w:val="18"/>
              </w:rPr>
            </w:pPr>
            <w:r>
              <w:rPr>
                <w:rFonts w:ascii="宋体" w:hAnsi="宋体" w:cs="Arial"/>
                <w:kern w:val="0"/>
                <w:sz w:val="18"/>
                <w:szCs w:val="18"/>
              </w:rPr>
              <w:t xml:space="preserve"> a) 提供 SQL、存储过程等价语法转换，并将转换后的语法在目标库进行校验，转换后语法可编译可执行； b) 对转换出错或校验出错的语法进行定位，引导用户进行错误校正后再次编译校验； c) 尽量减少应用的修改，从源数据库迁移到目标数据库，并可运行</w:t>
            </w:r>
          </w:p>
        </w:tc>
      </w:tr>
      <w:tr w14:paraId="619D3E12">
        <w:tblPrEx>
          <w:tblCellMar>
            <w:top w:w="0" w:type="dxa"/>
            <w:left w:w="108" w:type="dxa"/>
            <w:bottom w:w="0" w:type="dxa"/>
            <w:right w:w="108" w:type="dxa"/>
          </w:tblCellMar>
        </w:tblPrEx>
        <w:trPr>
          <w:trHeight w:val="926" w:hRule="atLeast"/>
        </w:trPr>
        <w:tc>
          <w:tcPr>
            <w:tcW w:w="500" w:type="dxa"/>
            <w:tcBorders>
              <w:top w:val="nil"/>
              <w:left w:val="single" w:color="000000" w:sz="4" w:space="0"/>
              <w:bottom w:val="single" w:color="000000" w:sz="4" w:space="0"/>
              <w:right w:val="single" w:color="000000" w:sz="4" w:space="0"/>
            </w:tcBorders>
            <w:vAlign w:val="center"/>
          </w:tcPr>
          <w:p w14:paraId="65F95340">
            <w:pPr>
              <w:widowControl/>
              <w:jc w:val="center"/>
              <w:rPr>
                <w:rFonts w:ascii="宋体" w:hAnsi="宋体" w:cs="Arial"/>
                <w:kern w:val="0"/>
                <w:sz w:val="18"/>
                <w:szCs w:val="18"/>
              </w:rPr>
            </w:pPr>
            <w:r>
              <w:rPr>
                <w:rFonts w:ascii="宋体" w:hAnsi="宋体" w:cs="Arial"/>
                <w:kern w:val="0"/>
                <w:sz w:val="18"/>
                <w:szCs w:val="18"/>
              </w:rPr>
              <w:t xml:space="preserve">42 </w:t>
            </w:r>
          </w:p>
        </w:tc>
        <w:tc>
          <w:tcPr>
            <w:tcW w:w="1100" w:type="dxa"/>
            <w:tcBorders>
              <w:top w:val="nil"/>
              <w:left w:val="nil"/>
              <w:bottom w:val="single" w:color="000000" w:sz="4" w:space="0"/>
              <w:right w:val="single" w:color="000000" w:sz="4" w:space="0"/>
            </w:tcBorders>
            <w:vAlign w:val="center"/>
          </w:tcPr>
          <w:p w14:paraId="28FBB610">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5B84484C">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7CD66632">
            <w:pPr>
              <w:widowControl/>
              <w:jc w:val="center"/>
              <w:rPr>
                <w:rFonts w:ascii="宋体" w:hAnsi="宋体" w:cs="Arial"/>
                <w:kern w:val="0"/>
                <w:sz w:val="18"/>
                <w:szCs w:val="18"/>
              </w:rPr>
            </w:pPr>
            <w:r>
              <w:rPr>
                <w:rFonts w:ascii="宋体" w:hAnsi="宋体" w:cs="Arial"/>
                <w:kern w:val="0"/>
                <w:sz w:val="18"/>
                <w:szCs w:val="18"/>
              </w:rPr>
              <w:t>★数据迁移</w:t>
            </w:r>
          </w:p>
        </w:tc>
        <w:tc>
          <w:tcPr>
            <w:tcW w:w="8953" w:type="dxa"/>
            <w:tcBorders>
              <w:top w:val="nil"/>
              <w:left w:val="nil"/>
              <w:bottom w:val="single" w:color="000000" w:sz="4" w:space="0"/>
              <w:right w:val="single" w:color="000000" w:sz="4" w:space="0"/>
            </w:tcBorders>
            <w:vAlign w:val="center"/>
          </w:tcPr>
          <w:p w14:paraId="481B7D28">
            <w:pPr>
              <w:widowControl/>
              <w:jc w:val="left"/>
              <w:rPr>
                <w:rFonts w:ascii="宋体" w:hAnsi="宋体" w:cs="Arial"/>
                <w:kern w:val="0"/>
                <w:sz w:val="18"/>
                <w:szCs w:val="18"/>
              </w:rPr>
            </w:pPr>
            <w:r>
              <w:rPr>
                <w:rFonts w:ascii="宋体" w:hAnsi="宋体" w:cs="Arial"/>
                <w:kern w:val="0"/>
                <w:sz w:val="18"/>
                <w:szCs w:val="18"/>
              </w:rPr>
              <w:t xml:space="preserve"> a) 提供元数据、数据库、数据库对象、表数据快速迁移的功能； b) 支持数据迁移工具实现同构或异构数据库之间的数据迁移； c) 支持全量数据迁移、增量数据持续同步等迁移模式； d) 在数据迁移过程中具备应对传输异常的能力，保障数据迁移的稳定性、连续性和一致性； e) 支持存量数据的一次性迁移和增量数据库的持续同步； f) 支持多种不同类型的源数据库和目标数据库之间的数据迁移</w:t>
            </w:r>
          </w:p>
        </w:tc>
      </w:tr>
      <w:tr w14:paraId="7C1593B9">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686330DF">
            <w:pPr>
              <w:widowControl/>
              <w:jc w:val="center"/>
              <w:rPr>
                <w:rFonts w:ascii="宋体" w:hAnsi="宋体" w:cs="Arial"/>
                <w:kern w:val="0"/>
                <w:sz w:val="18"/>
                <w:szCs w:val="18"/>
              </w:rPr>
            </w:pPr>
            <w:r>
              <w:rPr>
                <w:rFonts w:ascii="宋体" w:hAnsi="宋体" w:cs="Arial"/>
                <w:kern w:val="0"/>
                <w:sz w:val="18"/>
                <w:szCs w:val="18"/>
              </w:rPr>
              <w:t xml:space="preserve">43 </w:t>
            </w:r>
          </w:p>
        </w:tc>
        <w:tc>
          <w:tcPr>
            <w:tcW w:w="1100" w:type="dxa"/>
            <w:tcBorders>
              <w:top w:val="nil"/>
              <w:left w:val="nil"/>
              <w:bottom w:val="single" w:color="000000" w:sz="4" w:space="0"/>
              <w:right w:val="single" w:color="000000" w:sz="4" w:space="0"/>
            </w:tcBorders>
            <w:vAlign w:val="center"/>
          </w:tcPr>
          <w:p w14:paraId="4056D046">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5D80F188">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tcPr>
          <w:p w14:paraId="36BEE206">
            <w:pPr>
              <w:widowControl/>
              <w:jc w:val="center"/>
              <w:rPr>
                <w:rFonts w:ascii="宋体" w:hAnsi="宋体" w:cs="Arial"/>
                <w:kern w:val="0"/>
                <w:sz w:val="18"/>
                <w:szCs w:val="18"/>
              </w:rPr>
            </w:pPr>
            <w:r>
              <w:rPr>
                <w:rFonts w:ascii="宋体" w:hAnsi="宋体" w:cs="Arial"/>
                <w:kern w:val="0"/>
                <w:sz w:val="18"/>
                <w:szCs w:val="18"/>
              </w:rPr>
              <w:t>★数据比对基础功能</w:t>
            </w:r>
          </w:p>
        </w:tc>
        <w:tc>
          <w:tcPr>
            <w:tcW w:w="8953" w:type="dxa"/>
            <w:tcBorders>
              <w:top w:val="nil"/>
              <w:left w:val="nil"/>
              <w:bottom w:val="single" w:color="000000" w:sz="4" w:space="0"/>
              <w:right w:val="single" w:color="000000" w:sz="4" w:space="0"/>
            </w:tcBorders>
            <w:vAlign w:val="center"/>
          </w:tcPr>
          <w:p w14:paraId="53F1BE12">
            <w:pPr>
              <w:widowControl/>
              <w:jc w:val="left"/>
              <w:rPr>
                <w:rFonts w:ascii="宋体" w:hAnsi="宋体" w:cs="Arial"/>
                <w:kern w:val="0"/>
                <w:sz w:val="18"/>
                <w:szCs w:val="18"/>
              </w:rPr>
            </w:pPr>
            <w:r>
              <w:rPr>
                <w:rFonts w:ascii="宋体" w:hAnsi="宋体" w:cs="Arial"/>
                <w:kern w:val="0"/>
                <w:sz w:val="18"/>
                <w:szCs w:val="18"/>
              </w:rPr>
              <w:t>对源数据库和目标数据库之间的数据进行比对，支持数据一致性，并提供一致性比对报告</w:t>
            </w:r>
          </w:p>
        </w:tc>
      </w:tr>
      <w:tr w14:paraId="50B7A67F">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62D12295">
            <w:pPr>
              <w:widowControl/>
              <w:jc w:val="center"/>
              <w:rPr>
                <w:rFonts w:ascii="宋体" w:hAnsi="宋体" w:cs="Arial"/>
                <w:kern w:val="0"/>
                <w:sz w:val="18"/>
                <w:szCs w:val="18"/>
              </w:rPr>
            </w:pPr>
            <w:r>
              <w:rPr>
                <w:rFonts w:ascii="宋体" w:hAnsi="宋体" w:cs="Arial"/>
                <w:kern w:val="0"/>
                <w:sz w:val="18"/>
                <w:szCs w:val="18"/>
              </w:rPr>
              <w:t xml:space="preserve">44 </w:t>
            </w:r>
          </w:p>
        </w:tc>
        <w:tc>
          <w:tcPr>
            <w:tcW w:w="1100" w:type="dxa"/>
            <w:tcBorders>
              <w:top w:val="nil"/>
              <w:left w:val="nil"/>
              <w:bottom w:val="single" w:color="000000" w:sz="4" w:space="0"/>
              <w:right w:val="single" w:color="000000" w:sz="4" w:space="0"/>
            </w:tcBorders>
            <w:vAlign w:val="center"/>
          </w:tcPr>
          <w:p w14:paraId="0C288A12">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0A458326">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tcPr>
          <w:p w14:paraId="27C4FB88">
            <w:pPr>
              <w:widowControl/>
              <w:jc w:val="center"/>
              <w:rPr>
                <w:rFonts w:ascii="宋体" w:hAnsi="宋体" w:cs="Arial"/>
                <w:kern w:val="0"/>
                <w:sz w:val="18"/>
                <w:szCs w:val="18"/>
              </w:rPr>
            </w:pPr>
            <w:r>
              <w:rPr>
                <w:rFonts w:ascii="宋体" w:hAnsi="宋体" w:cs="Arial"/>
                <w:kern w:val="0"/>
                <w:sz w:val="18"/>
                <w:szCs w:val="18"/>
              </w:rPr>
              <w:t>数据比对增强功能</w:t>
            </w:r>
          </w:p>
        </w:tc>
        <w:tc>
          <w:tcPr>
            <w:tcW w:w="8953" w:type="dxa"/>
            <w:tcBorders>
              <w:top w:val="nil"/>
              <w:left w:val="nil"/>
              <w:bottom w:val="single" w:color="000000" w:sz="4" w:space="0"/>
              <w:right w:val="single" w:color="000000" w:sz="4" w:space="0"/>
            </w:tcBorders>
            <w:vAlign w:val="center"/>
          </w:tcPr>
          <w:p w14:paraId="4AF2691F">
            <w:pPr>
              <w:widowControl/>
              <w:jc w:val="left"/>
              <w:rPr>
                <w:rFonts w:ascii="宋体" w:hAnsi="宋体" w:cs="Arial"/>
                <w:kern w:val="0"/>
                <w:sz w:val="18"/>
                <w:szCs w:val="18"/>
              </w:rPr>
            </w:pPr>
            <w:r>
              <w:rPr>
                <w:rFonts w:ascii="宋体" w:hAnsi="宋体" w:cs="Arial"/>
                <w:kern w:val="0"/>
                <w:sz w:val="18"/>
                <w:szCs w:val="18"/>
              </w:rPr>
              <w:t>数据比对规模是可配置的，用户可根据业务需求，进行库级、表级等级别的比对，提供数据修复功能</w:t>
            </w:r>
          </w:p>
        </w:tc>
      </w:tr>
      <w:tr w14:paraId="1F3133BB">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307B46FB">
            <w:pPr>
              <w:widowControl/>
              <w:jc w:val="center"/>
              <w:rPr>
                <w:rFonts w:ascii="宋体" w:hAnsi="宋体" w:cs="Arial"/>
                <w:kern w:val="0"/>
                <w:sz w:val="18"/>
                <w:szCs w:val="18"/>
              </w:rPr>
            </w:pPr>
            <w:r>
              <w:rPr>
                <w:rFonts w:ascii="宋体" w:hAnsi="宋体" w:cs="Arial"/>
                <w:kern w:val="0"/>
                <w:sz w:val="18"/>
                <w:szCs w:val="18"/>
              </w:rPr>
              <w:t xml:space="preserve">45 </w:t>
            </w:r>
          </w:p>
        </w:tc>
        <w:tc>
          <w:tcPr>
            <w:tcW w:w="1100" w:type="dxa"/>
            <w:tcBorders>
              <w:top w:val="nil"/>
              <w:left w:val="nil"/>
              <w:bottom w:val="single" w:color="000000" w:sz="4" w:space="0"/>
              <w:right w:val="single" w:color="000000" w:sz="4" w:space="0"/>
            </w:tcBorders>
            <w:vAlign w:val="center"/>
          </w:tcPr>
          <w:p w14:paraId="045ED3CB">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restart"/>
            <w:tcBorders>
              <w:top w:val="nil"/>
              <w:left w:val="single" w:color="000000" w:sz="4" w:space="0"/>
              <w:bottom w:val="single" w:color="000000" w:sz="4" w:space="0"/>
              <w:right w:val="single" w:color="000000" w:sz="4" w:space="0"/>
            </w:tcBorders>
            <w:vAlign w:val="center"/>
          </w:tcPr>
          <w:p w14:paraId="44EFC699">
            <w:pPr>
              <w:widowControl/>
              <w:jc w:val="center"/>
              <w:rPr>
                <w:rFonts w:ascii="宋体" w:hAnsi="宋体" w:cs="Arial"/>
                <w:kern w:val="0"/>
                <w:sz w:val="18"/>
                <w:szCs w:val="18"/>
              </w:rPr>
            </w:pPr>
            <w:r>
              <w:rPr>
                <w:rFonts w:ascii="宋体" w:hAnsi="宋体" w:cs="Arial"/>
                <w:kern w:val="0"/>
                <w:sz w:val="18"/>
                <w:szCs w:val="18"/>
              </w:rPr>
              <w:t>备份恢复</w:t>
            </w:r>
          </w:p>
        </w:tc>
        <w:tc>
          <w:tcPr>
            <w:tcW w:w="1100" w:type="dxa"/>
            <w:tcBorders>
              <w:top w:val="nil"/>
              <w:left w:val="nil"/>
              <w:bottom w:val="single" w:color="000000" w:sz="4" w:space="0"/>
              <w:right w:val="single" w:color="000000" w:sz="4" w:space="0"/>
            </w:tcBorders>
            <w:vAlign w:val="center"/>
          </w:tcPr>
          <w:p w14:paraId="3DA2A9BC">
            <w:pPr>
              <w:widowControl/>
              <w:jc w:val="center"/>
              <w:rPr>
                <w:rFonts w:ascii="宋体" w:hAnsi="宋体" w:cs="Arial"/>
                <w:kern w:val="0"/>
                <w:sz w:val="18"/>
                <w:szCs w:val="18"/>
              </w:rPr>
            </w:pPr>
            <w:r>
              <w:rPr>
                <w:rFonts w:ascii="宋体" w:hAnsi="宋体" w:cs="Arial"/>
                <w:kern w:val="0"/>
                <w:sz w:val="18"/>
                <w:szCs w:val="18"/>
              </w:rPr>
              <w:t>★数据备份</w:t>
            </w:r>
          </w:p>
        </w:tc>
        <w:tc>
          <w:tcPr>
            <w:tcW w:w="8953" w:type="dxa"/>
            <w:tcBorders>
              <w:top w:val="nil"/>
              <w:left w:val="nil"/>
              <w:bottom w:val="single" w:color="000000" w:sz="4" w:space="0"/>
              <w:right w:val="single" w:color="000000" w:sz="4" w:space="0"/>
            </w:tcBorders>
            <w:vAlign w:val="center"/>
          </w:tcPr>
          <w:p w14:paraId="24565615">
            <w:pPr>
              <w:widowControl/>
              <w:jc w:val="left"/>
              <w:rPr>
                <w:rFonts w:ascii="宋体" w:hAnsi="宋体" w:cs="Arial"/>
                <w:kern w:val="0"/>
                <w:sz w:val="18"/>
                <w:szCs w:val="18"/>
              </w:rPr>
            </w:pPr>
            <w:r>
              <w:rPr>
                <w:rFonts w:ascii="宋体" w:hAnsi="宋体" w:cs="Arial"/>
                <w:kern w:val="0"/>
                <w:sz w:val="18"/>
                <w:szCs w:val="18"/>
              </w:rPr>
              <w:t xml:space="preserve"> a) 运行状态下支持对数据库进行全库备份； b) 运行状态下支持对数据库进行部分备份； c) 运行状态下支持对数据库进行增量备份</w:t>
            </w:r>
          </w:p>
        </w:tc>
      </w:tr>
      <w:tr w14:paraId="4861F4E2">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3D9A4714">
            <w:pPr>
              <w:widowControl/>
              <w:jc w:val="center"/>
              <w:rPr>
                <w:rFonts w:ascii="宋体" w:hAnsi="宋体" w:cs="Arial"/>
                <w:kern w:val="0"/>
                <w:sz w:val="18"/>
                <w:szCs w:val="18"/>
              </w:rPr>
            </w:pPr>
            <w:r>
              <w:rPr>
                <w:rFonts w:ascii="宋体" w:hAnsi="宋体" w:cs="Arial"/>
                <w:kern w:val="0"/>
                <w:sz w:val="18"/>
                <w:szCs w:val="18"/>
              </w:rPr>
              <w:t xml:space="preserve">46 </w:t>
            </w:r>
          </w:p>
        </w:tc>
        <w:tc>
          <w:tcPr>
            <w:tcW w:w="1100" w:type="dxa"/>
            <w:tcBorders>
              <w:top w:val="nil"/>
              <w:left w:val="nil"/>
              <w:bottom w:val="single" w:color="000000" w:sz="4" w:space="0"/>
              <w:right w:val="single" w:color="000000" w:sz="4" w:space="0"/>
            </w:tcBorders>
            <w:vAlign w:val="center"/>
          </w:tcPr>
          <w:p w14:paraId="62A5A24E">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07507497">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349567B3">
            <w:pPr>
              <w:widowControl/>
              <w:jc w:val="center"/>
              <w:rPr>
                <w:rFonts w:ascii="宋体" w:hAnsi="宋体" w:cs="Arial"/>
                <w:kern w:val="0"/>
                <w:sz w:val="18"/>
                <w:szCs w:val="18"/>
              </w:rPr>
            </w:pPr>
            <w:r>
              <w:rPr>
                <w:rFonts w:ascii="宋体" w:hAnsi="宋体" w:cs="Arial"/>
                <w:kern w:val="0"/>
                <w:sz w:val="18"/>
                <w:szCs w:val="18"/>
              </w:rPr>
              <w:t>备份数据管理</w:t>
            </w:r>
          </w:p>
        </w:tc>
        <w:tc>
          <w:tcPr>
            <w:tcW w:w="8953" w:type="dxa"/>
            <w:tcBorders>
              <w:top w:val="nil"/>
              <w:left w:val="nil"/>
              <w:bottom w:val="single" w:color="000000" w:sz="4" w:space="0"/>
              <w:right w:val="single" w:color="000000" w:sz="4" w:space="0"/>
            </w:tcBorders>
            <w:vAlign w:val="center"/>
          </w:tcPr>
          <w:p w14:paraId="62B80342">
            <w:pPr>
              <w:widowControl/>
              <w:jc w:val="left"/>
              <w:rPr>
                <w:rFonts w:ascii="宋体" w:hAnsi="宋体" w:cs="Arial"/>
                <w:kern w:val="0"/>
                <w:sz w:val="18"/>
                <w:szCs w:val="18"/>
              </w:rPr>
            </w:pPr>
            <w:r>
              <w:rPr>
                <w:rFonts w:ascii="宋体" w:hAnsi="宋体" w:cs="Arial"/>
                <w:kern w:val="0"/>
                <w:sz w:val="18"/>
                <w:szCs w:val="18"/>
              </w:rPr>
              <w:t xml:space="preserve"> a) 支持备份数据的加密； b) 支持备份数据的压缩； c) 支持备份数据的存储</w:t>
            </w:r>
          </w:p>
        </w:tc>
      </w:tr>
      <w:tr w14:paraId="20DD32F8">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70FC703E">
            <w:pPr>
              <w:widowControl/>
              <w:jc w:val="center"/>
              <w:rPr>
                <w:rFonts w:ascii="宋体" w:hAnsi="宋体" w:cs="Arial"/>
                <w:kern w:val="0"/>
                <w:sz w:val="18"/>
                <w:szCs w:val="18"/>
              </w:rPr>
            </w:pPr>
            <w:r>
              <w:rPr>
                <w:rFonts w:ascii="宋体" w:hAnsi="宋体" w:cs="Arial"/>
                <w:kern w:val="0"/>
                <w:sz w:val="18"/>
                <w:szCs w:val="18"/>
              </w:rPr>
              <w:t xml:space="preserve">47 </w:t>
            </w:r>
          </w:p>
        </w:tc>
        <w:tc>
          <w:tcPr>
            <w:tcW w:w="1100" w:type="dxa"/>
            <w:tcBorders>
              <w:top w:val="nil"/>
              <w:left w:val="nil"/>
              <w:bottom w:val="single" w:color="000000" w:sz="4" w:space="0"/>
              <w:right w:val="single" w:color="000000" w:sz="4" w:space="0"/>
            </w:tcBorders>
            <w:vAlign w:val="center"/>
          </w:tcPr>
          <w:p w14:paraId="1F6AFB2D">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6632C28A">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445E1621">
            <w:pPr>
              <w:widowControl/>
              <w:jc w:val="center"/>
              <w:rPr>
                <w:rFonts w:ascii="宋体" w:hAnsi="宋体" w:cs="Arial"/>
                <w:kern w:val="0"/>
                <w:sz w:val="18"/>
                <w:szCs w:val="18"/>
              </w:rPr>
            </w:pPr>
            <w:r>
              <w:rPr>
                <w:rFonts w:ascii="宋体" w:hAnsi="宋体" w:cs="Arial"/>
                <w:kern w:val="0"/>
                <w:sz w:val="18"/>
                <w:szCs w:val="18"/>
              </w:rPr>
              <w:t>用户/模式备份、恢复</w:t>
            </w:r>
          </w:p>
        </w:tc>
        <w:tc>
          <w:tcPr>
            <w:tcW w:w="8953" w:type="dxa"/>
            <w:tcBorders>
              <w:top w:val="nil"/>
              <w:left w:val="nil"/>
              <w:bottom w:val="single" w:color="000000" w:sz="4" w:space="0"/>
              <w:right w:val="single" w:color="000000" w:sz="4" w:space="0"/>
            </w:tcBorders>
            <w:vAlign w:val="center"/>
          </w:tcPr>
          <w:p w14:paraId="6883BC57">
            <w:pPr>
              <w:widowControl/>
              <w:jc w:val="left"/>
              <w:rPr>
                <w:rFonts w:ascii="宋体" w:hAnsi="宋体" w:cs="Arial"/>
                <w:kern w:val="0"/>
                <w:sz w:val="18"/>
                <w:szCs w:val="18"/>
              </w:rPr>
            </w:pPr>
            <w:r>
              <w:rPr>
                <w:rFonts w:ascii="宋体" w:hAnsi="宋体" w:cs="Arial"/>
                <w:kern w:val="0"/>
                <w:sz w:val="18"/>
                <w:szCs w:val="18"/>
              </w:rPr>
              <w:t xml:space="preserve"> a) 支持对数据库的所有或指定用户/模式下的数据进行备份； b) 支持对数据库的所有或指定用户/模式下的数据备份进行恢复</w:t>
            </w:r>
          </w:p>
        </w:tc>
      </w:tr>
      <w:tr w14:paraId="2F0291A4">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60F91402">
            <w:pPr>
              <w:widowControl/>
              <w:jc w:val="center"/>
              <w:rPr>
                <w:rFonts w:ascii="宋体" w:hAnsi="宋体" w:cs="Arial"/>
                <w:kern w:val="0"/>
                <w:sz w:val="18"/>
                <w:szCs w:val="18"/>
              </w:rPr>
            </w:pPr>
            <w:r>
              <w:rPr>
                <w:rFonts w:ascii="宋体" w:hAnsi="宋体" w:cs="Arial"/>
                <w:kern w:val="0"/>
                <w:sz w:val="18"/>
                <w:szCs w:val="18"/>
              </w:rPr>
              <w:t xml:space="preserve">48 </w:t>
            </w:r>
          </w:p>
        </w:tc>
        <w:tc>
          <w:tcPr>
            <w:tcW w:w="1100" w:type="dxa"/>
            <w:tcBorders>
              <w:top w:val="nil"/>
              <w:left w:val="nil"/>
              <w:bottom w:val="single" w:color="000000" w:sz="4" w:space="0"/>
              <w:right w:val="single" w:color="000000" w:sz="4" w:space="0"/>
            </w:tcBorders>
            <w:vAlign w:val="center"/>
          </w:tcPr>
          <w:p w14:paraId="4E81683E">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5588F25B">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01C6731D">
            <w:pPr>
              <w:widowControl/>
              <w:jc w:val="center"/>
              <w:rPr>
                <w:rFonts w:ascii="宋体" w:hAnsi="宋体" w:cs="Arial"/>
                <w:kern w:val="0"/>
                <w:sz w:val="18"/>
                <w:szCs w:val="18"/>
              </w:rPr>
            </w:pPr>
            <w:r>
              <w:rPr>
                <w:rFonts w:ascii="宋体" w:hAnsi="宋体" w:cs="Arial"/>
                <w:kern w:val="0"/>
                <w:sz w:val="18"/>
                <w:szCs w:val="18"/>
              </w:rPr>
              <w:t>★多种存储媒体备份、还原</w:t>
            </w:r>
          </w:p>
        </w:tc>
        <w:tc>
          <w:tcPr>
            <w:tcW w:w="8953" w:type="dxa"/>
            <w:tcBorders>
              <w:top w:val="nil"/>
              <w:left w:val="nil"/>
              <w:bottom w:val="single" w:color="000000" w:sz="4" w:space="0"/>
              <w:right w:val="single" w:color="000000" w:sz="4" w:space="0"/>
            </w:tcBorders>
            <w:vAlign w:val="center"/>
          </w:tcPr>
          <w:p w14:paraId="353AE226">
            <w:pPr>
              <w:widowControl/>
              <w:jc w:val="left"/>
              <w:rPr>
                <w:rFonts w:ascii="宋体" w:hAnsi="宋体" w:cs="Arial"/>
                <w:kern w:val="0"/>
                <w:sz w:val="18"/>
                <w:szCs w:val="18"/>
              </w:rPr>
            </w:pPr>
            <w:r>
              <w:rPr>
                <w:rFonts w:ascii="宋体" w:hAnsi="宋体" w:cs="Arial"/>
                <w:kern w:val="0"/>
                <w:sz w:val="18"/>
                <w:szCs w:val="18"/>
              </w:rPr>
              <w:t>支持多种备份存储媒体，支持多种存储媒体的部分、完整数据库数据还原处理能力</w:t>
            </w:r>
          </w:p>
        </w:tc>
      </w:tr>
      <w:tr w14:paraId="6BD490B1">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109A1626">
            <w:pPr>
              <w:widowControl/>
              <w:jc w:val="center"/>
              <w:rPr>
                <w:rFonts w:ascii="宋体" w:hAnsi="宋体" w:cs="Arial"/>
                <w:kern w:val="0"/>
                <w:sz w:val="18"/>
                <w:szCs w:val="18"/>
              </w:rPr>
            </w:pPr>
            <w:r>
              <w:rPr>
                <w:rFonts w:ascii="宋体" w:hAnsi="宋体" w:cs="Arial"/>
                <w:kern w:val="0"/>
                <w:sz w:val="18"/>
                <w:szCs w:val="18"/>
              </w:rPr>
              <w:t xml:space="preserve">49 </w:t>
            </w:r>
          </w:p>
        </w:tc>
        <w:tc>
          <w:tcPr>
            <w:tcW w:w="1100" w:type="dxa"/>
            <w:tcBorders>
              <w:top w:val="nil"/>
              <w:left w:val="nil"/>
              <w:bottom w:val="single" w:color="000000" w:sz="4" w:space="0"/>
              <w:right w:val="single" w:color="000000" w:sz="4" w:space="0"/>
            </w:tcBorders>
            <w:vAlign w:val="center"/>
          </w:tcPr>
          <w:p w14:paraId="025073EB">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637BB61E">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1C067C23">
            <w:pPr>
              <w:widowControl/>
              <w:jc w:val="center"/>
              <w:rPr>
                <w:rFonts w:ascii="宋体" w:hAnsi="宋体" w:cs="Arial"/>
                <w:kern w:val="0"/>
                <w:sz w:val="18"/>
                <w:szCs w:val="18"/>
              </w:rPr>
            </w:pPr>
            <w:r>
              <w:rPr>
                <w:rFonts w:ascii="宋体" w:hAnsi="宋体" w:cs="Arial"/>
                <w:kern w:val="0"/>
                <w:sz w:val="18"/>
                <w:szCs w:val="18"/>
              </w:rPr>
              <w:t>★备份还原的一致性校验</w:t>
            </w:r>
          </w:p>
        </w:tc>
        <w:tc>
          <w:tcPr>
            <w:tcW w:w="8953" w:type="dxa"/>
            <w:tcBorders>
              <w:top w:val="nil"/>
              <w:left w:val="nil"/>
              <w:bottom w:val="single" w:color="000000" w:sz="4" w:space="0"/>
              <w:right w:val="single" w:color="000000" w:sz="4" w:space="0"/>
            </w:tcBorders>
            <w:vAlign w:val="center"/>
          </w:tcPr>
          <w:p w14:paraId="3FD51006">
            <w:pPr>
              <w:widowControl/>
              <w:jc w:val="left"/>
              <w:rPr>
                <w:rFonts w:ascii="宋体" w:hAnsi="宋体" w:cs="Arial"/>
                <w:kern w:val="0"/>
                <w:sz w:val="18"/>
                <w:szCs w:val="18"/>
              </w:rPr>
            </w:pPr>
            <w:r>
              <w:rPr>
                <w:rFonts w:ascii="宋体" w:hAnsi="宋体" w:cs="Arial"/>
                <w:kern w:val="0"/>
                <w:sz w:val="18"/>
                <w:szCs w:val="18"/>
              </w:rPr>
              <w:t>提供数据库备份数据一致性校验的命令或工具</w:t>
            </w:r>
          </w:p>
        </w:tc>
      </w:tr>
      <w:tr w14:paraId="118DC17F">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54BFC053">
            <w:pPr>
              <w:widowControl/>
              <w:jc w:val="center"/>
              <w:rPr>
                <w:rFonts w:ascii="宋体" w:hAnsi="宋体" w:cs="Arial"/>
                <w:kern w:val="0"/>
                <w:sz w:val="18"/>
                <w:szCs w:val="18"/>
              </w:rPr>
            </w:pPr>
            <w:r>
              <w:rPr>
                <w:rFonts w:ascii="宋体" w:hAnsi="宋体" w:cs="Arial"/>
                <w:kern w:val="0"/>
                <w:sz w:val="18"/>
                <w:szCs w:val="18"/>
              </w:rPr>
              <w:t xml:space="preserve">50 </w:t>
            </w:r>
          </w:p>
        </w:tc>
        <w:tc>
          <w:tcPr>
            <w:tcW w:w="1100" w:type="dxa"/>
            <w:tcBorders>
              <w:top w:val="nil"/>
              <w:left w:val="nil"/>
              <w:bottom w:val="single" w:color="000000" w:sz="4" w:space="0"/>
              <w:right w:val="single" w:color="000000" w:sz="4" w:space="0"/>
            </w:tcBorders>
            <w:vAlign w:val="center"/>
          </w:tcPr>
          <w:p w14:paraId="5B420AE4">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restart"/>
            <w:tcBorders>
              <w:top w:val="nil"/>
              <w:left w:val="single" w:color="000000" w:sz="4" w:space="0"/>
              <w:bottom w:val="single" w:color="000000" w:sz="4" w:space="0"/>
              <w:right w:val="single" w:color="000000" w:sz="4" w:space="0"/>
            </w:tcBorders>
            <w:vAlign w:val="center"/>
          </w:tcPr>
          <w:p w14:paraId="0FA8A566">
            <w:pPr>
              <w:widowControl/>
              <w:jc w:val="center"/>
              <w:rPr>
                <w:rFonts w:ascii="宋体" w:hAnsi="宋体" w:cs="Arial"/>
                <w:kern w:val="0"/>
                <w:sz w:val="18"/>
                <w:szCs w:val="18"/>
              </w:rPr>
            </w:pPr>
            <w:r>
              <w:rPr>
                <w:rFonts w:ascii="宋体" w:hAnsi="宋体" w:cs="Arial"/>
                <w:kern w:val="0"/>
                <w:sz w:val="18"/>
                <w:szCs w:val="18"/>
              </w:rPr>
              <w:t>集群管理</w:t>
            </w:r>
          </w:p>
        </w:tc>
        <w:tc>
          <w:tcPr>
            <w:tcW w:w="1100" w:type="dxa"/>
            <w:tcBorders>
              <w:top w:val="nil"/>
              <w:left w:val="nil"/>
              <w:bottom w:val="single" w:color="000000" w:sz="4" w:space="0"/>
              <w:right w:val="single" w:color="000000" w:sz="4" w:space="0"/>
            </w:tcBorders>
            <w:vAlign w:val="center"/>
          </w:tcPr>
          <w:p w14:paraId="53DDE1FE">
            <w:pPr>
              <w:widowControl/>
              <w:jc w:val="center"/>
              <w:rPr>
                <w:rFonts w:ascii="宋体" w:hAnsi="宋体" w:cs="Arial"/>
                <w:kern w:val="0"/>
                <w:sz w:val="18"/>
                <w:szCs w:val="18"/>
              </w:rPr>
            </w:pPr>
            <w:r>
              <w:rPr>
                <w:rFonts w:ascii="宋体" w:hAnsi="宋体" w:cs="Arial"/>
                <w:kern w:val="0"/>
                <w:sz w:val="18"/>
                <w:szCs w:val="18"/>
              </w:rPr>
              <w:t>★集群构建与管理</w:t>
            </w:r>
          </w:p>
        </w:tc>
        <w:tc>
          <w:tcPr>
            <w:tcW w:w="8953" w:type="dxa"/>
            <w:tcBorders>
              <w:top w:val="nil"/>
              <w:left w:val="nil"/>
              <w:bottom w:val="single" w:color="000000" w:sz="4" w:space="0"/>
              <w:right w:val="single" w:color="000000" w:sz="4" w:space="0"/>
            </w:tcBorders>
            <w:vAlign w:val="center"/>
          </w:tcPr>
          <w:p w14:paraId="0233A000">
            <w:pPr>
              <w:widowControl/>
              <w:jc w:val="left"/>
              <w:rPr>
                <w:rFonts w:ascii="宋体" w:hAnsi="宋体" w:cs="Arial"/>
                <w:kern w:val="0"/>
                <w:sz w:val="18"/>
                <w:szCs w:val="18"/>
              </w:rPr>
            </w:pPr>
            <w:r>
              <w:rPr>
                <w:rFonts w:ascii="宋体" w:hAnsi="宋体" w:cs="Arial"/>
                <w:kern w:val="0"/>
                <w:sz w:val="18"/>
                <w:szCs w:val="18"/>
              </w:rPr>
              <w:t xml:space="preserve"> a) 支持集群的运行环境； b) 支持创建并配置数据库集群； c) 配置信息至少包括日常运维管理、容灾管理、日志管理、备份管理、监控等</w:t>
            </w:r>
          </w:p>
        </w:tc>
      </w:tr>
      <w:tr w14:paraId="4455B01D">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0644E009">
            <w:pPr>
              <w:widowControl/>
              <w:jc w:val="center"/>
              <w:rPr>
                <w:rFonts w:ascii="宋体" w:hAnsi="宋体" w:cs="Arial"/>
                <w:kern w:val="0"/>
                <w:sz w:val="18"/>
                <w:szCs w:val="18"/>
              </w:rPr>
            </w:pPr>
            <w:r>
              <w:rPr>
                <w:rFonts w:ascii="宋体" w:hAnsi="宋体" w:cs="Arial"/>
                <w:kern w:val="0"/>
                <w:sz w:val="18"/>
                <w:szCs w:val="18"/>
              </w:rPr>
              <w:t xml:space="preserve">51 </w:t>
            </w:r>
          </w:p>
        </w:tc>
        <w:tc>
          <w:tcPr>
            <w:tcW w:w="1100" w:type="dxa"/>
            <w:tcBorders>
              <w:top w:val="nil"/>
              <w:left w:val="nil"/>
              <w:bottom w:val="single" w:color="000000" w:sz="4" w:space="0"/>
              <w:right w:val="single" w:color="000000" w:sz="4" w:space="0"/>
            </w:tcBorders>
          </w:tcPr>
          <w:p w14:paraId="1B537AE9">
            <w:pPr>
              <w:widowControl/>
              <w:jc w:val="center"/>
              <w:rPr>
                <w:rFonts w:ascii="宋体" w:hAnsi="宋体" w:cs="Arial"/>
                <w:kern w:val="0"/>
                <w:sz w:val="22"/>
                <w:szCs w:val="22"/>
              </w:rPr>
            </w:pPr>
            <w:r>
              <w:rPr>
                <w:rFonts w:ascii="宋体" w:hAnsi="宋体" w:cs="Arial"/>
                <w:kern w:val="0"/>
                <w:sz w:val="22"/>
                <w:szCs w:val="22"/>
              </w:rPr>
              <w:t>　</w:t>
            </w:r>
          </w:p>
        </w:tc>
        <w:tc>
          <w:tcPr>
            <w:tcW w:w="1100" w:type="dxa"/>
            <w:vMerge w:val="continue"/>
            <w:tcBorders>
              <w:top w:val="nil"/>
              <w:left w:val="single" w:color="000000" w:sz="4" w:space="0"/>
              <w:bottom w:val="single" w:color="000000" w:sz="4" w:space="0"/>
              <w:right w:val="single" w:color="000000" w:sz="4" w:space="0"/>
            </w:tcBorders>
            <w:vAlign w:val="center"/>
          </w:tcPr>
          <w:p w14:paraId="6C9EF49D">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291B1F2D">
            <w:pPr>
              <w:widowControl/>
              <w:jc w:val="center"/>
              <w:rPr>
                <w:rFonts w:ascii="宋体" w:hAnsi="宋体" w:cs="Arial"/>
                <w:kern w:val="0"/>
                <w:sz w:val="18"/>
                <w:szCs w:val="18"/>
              </w:rPr>
            </w:pPr>
            <w:r>
              <w:rPr>
                <w:rFonts w:ascii="宋体" w:hAnsi="宋体" w:cs="Arial"/>
                <w:kern w:val="0"/>
                <w:sz w:val="18"/>
                <w:szCs w:val="18"/>
              </w:rPr>
              <w:t>集群构建与管理扩展要求</w:t>
            </w:r>
          </w:p>
        </w:tc>
        <w:tc>
          <w:tcPr>
            <w:tcW w:w="8953" w:type="dxa"/>
            <w:tcBorders>
              <w:top w:val="nil"/>
              <w:left w:val="nil"/>
              <w:bottom w:val="single" w:color="000000" w:sz="4" w:space="0"/>
              <w:right w:val="single" w:color="000000" w:sz="4" w:space="0"/>
            </w:tcBorders>
            <w:vAlign w:val="center"/>
          </w:tcPr>
          <w:p w14:paraId="1087C9CE">
            <w:pPr>
              <w:widowControl/>
              <w:jc w:val="left"/>
              <w:rPr>
                <w:rFonts w:ascii="宋体" w:hAnsi="宋体" w:cs="Arial"/>
                <w:kern w:val="0"/>
                <w:sz w:val="18"/>
                <w:szCs w:val="18"/>
              </w:rPr>
            </w:pPr>
            <w:r>
              <w:rPr>
                <w:rFonts w:ascii="宋体" w:hAnsi="宋体" w:cs="Arial"/>
                <w:kern w:val="0"/>
                <w:sz w:val="18"/>
                <w:szCs w:val="18"/>
              </w:rPr>
              <w:t>在读写操作负载差距较大时，提供读写分离能力</w:t>
            </w:r>
          </w:p>
        </w:tc>
      </w:tr>
      <w:tr w14:paraId="63844242">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26521EEE">
            <w:pPr>
              <w:widowControl/>
              <w:jc w:val="center"/>
              <w:rPr>
                <w:rFonts w:ascii="宋体" w:hAnsi="宋体" w:cs="Arial"/>
                <w:kern w:val="0"/>
                <w:sz w:val="18"/>
                <w:szCs w:val="18"/>
              </w:rPr>
            </w:pPr>
            <w:r>
              <w:rPr>
                <w:rFonts w:ascii="宋体" w:hAnsi="宋体" w:cs="Arial"/>
                <w:kern w:val="0"/>
                <w:sz w:val="18"/>
                <w:szCs w:val="18"/>
              </w:rPr>
              <w:t xml:space="preserve">52 </w:t>
            </w:r>
          </w:p>
        </w:tc>
        <w:tc>
          <w:tcPr>
            <w:tcW w:w="1100" w:type="dxa"/>
            <w:tcBorders>
              <w:top w:val="nil"/>
              <w:left w:val="nil"/>
              <w:bottom w:val="single" w:color="000000" w:sz="4" w:space="0"/>
              <w:right w:val="single" w:color="000000" w:sz="4" w:space="0"/>
            </w:tcBorders>
            <w:vAlign w:val="center"/>
          </w:tcPr>
          <w:p w14:paraId="3779547F">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44AB6347">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7E0C7E25">
            <w:pPr>
              <w:widowControl/>
              <w:jc w:val="center"/>
              <w:rPr>
                <w:rFonts w:ascii="宋体" w:hAnsi="宋体" w:cs="Arial"/>
                <w:kern w:val="0"/>
                <w:sz w:val="18"/>
                <w:szCs w:val="18"/>
              </w:rPr>
            </w:pPr>
            <w:r>
              <w:rPr>
                <w:rFonts w:ascii="宋体" w:hAnsi="宋体" w:cs="Arial"/>
                <w:kern w:val="0"/>
                <w:sz w:val="18"/>
                <w:szCs w:val="18"/>
              </w:rPr>
              <w:t>共享存储架构下的集群要求</w:t>
            </w:r>
          </w:p>
        </w:tc>
        <w:tc>
          <w:tcPr>
            <w:tcW w:w="8953" w:type="dxa"/>
            <w:tcBorders>
              <w:top w:val="nil"/>
              <w:left w:val="nil"/>
              <w:bottom w:val="single" w:color="000000" w:sz="4" w:space="0"/>
              <w:right w:val="single" w:color="000000" w:sz="4" w:space="0"/>
            </w:tcBorders>
            <w:vAlign w:val="center"/>
          </w:tcPr>
          <w:p w14:paraId="40504C19">
            <w:pPr>
              <w:widowControl/>
              <w:jc w:val="left"/>
              <w:rPr>
                <w:rFonts w:ascii="宋体" w:hAnsi="宋体" w:cs="Arial"/>
                <w:kern w:val="0"/>
                <w:sz w:val="18"/>
                <w:szCs w:val="18"/>
              </w:rPr>
            </w:pPr>
            <w:r>
              <w:rPr>
                <w:rFonts w:ascii="宋体" w:hAnsi="宋体" w:cs="Arial"/>
                <w:kern w:val="0"/>
                <w:sz w:val="18"/>
                <w:szCs w:val="18"/>
              </w:rPr>
              <w:t>在共享存储集群架构的基础上： a) 支持管理硬件存储资源，包括为共享存储扩展存储容量； b) 支持集群多个节点同时写入或一写多读，事务支持 ACID 特性； c) 支持节点间的缓存一致性</w:t>
            </w:r>
          </w:p>
        </w:tc>
      </w:tr>
      <w:tr w14:paraId="71C58EC8">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63EEBC62">
            <w:pPr>
              <w:widowControl/>
              <w:jc w:val="center"/>
              <w:rPr>
                <w:rFonts w:ascii="宋体" w:hAnsi="宋体" w:cs="Arial"/>
                <w:kern w:val="0"/>
                <w:sz w:val="18"/>
                <w:szCs w:val="18"/>
              </w:rPr>
            </w:pPr>
            <w:r>
              <w:rPr>
                <w:rFonts w:ascii="宋体" w:hAnsi="宋体" w:cs="Arial"/>
                <w:kern w:val="0"/>
                <w:sz w:val="18"/>
                <w:szCs w:val="18"/>
              </w:rPr>
              <w:t xml:space="preserve">53 </w:t>
            </w:r>
          </w:p>
        </w:tc>
        <w:tc>
          <w:tcPr>
            <w:tcW w:w="1100" w:type="dxa"/>
            <w:tcBorders>
              <w:top w:val="nil"/>
              <w:left w:val="nil"/>
              <w:bottom w:val="single" w:color="000000" w:sz="4" w:space="0"/>
              <w:right w:val="single" w:color="000000" w:sz="4" w:space="0"/>
            </w:tcBorders>
            <w:vAlign w:val="center"/>
          </w:tcPr>
          <w:p w14:paraId="58BDF6B5">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restart"/>
            <w:tcBorders>
              <w:top w:val="nil"/>
              <w:left w:val="single" w:color="000000" w:sz="4" w:space="0"/>
              <w:bottom w:val="single" w:color="000000" w:sz="4" w:space="0"/>
              <w:right w:val="single" w:color="000000" w:sz="4" w:space="0"/>
            </w:tcBorders>
            <w:vAlign w:val="center"/>
          </w:tcPr>
          <w:p w14:paraId="0AAE684E">
            <w:pPr>
              <w:widowControl/>
              <w:jc w:val="center"/>
              <w:rPr>
                <w:rFonts w:ascii="宋体" w:hAnsi="宋体" w:cs="Arial"/>
                <w:kern w:val="0"/>
                <w:sz w:val="18"/>
                <w:szCs w:val="18"/>
              </w:rPr>
            </w:pPr>
            <w:r>
              <w:rPr>
                <w:rFonts w:ascii="宋体" w:hAnsi="宋体" w:cs="Arial"/>
                <w:kern w:val="0"/>
                <w:sz w:val="18"/>
                <w:szCs w:val="18"/>
              </w:rPr>
              <w:t>工具</w:t>
            </w:r>
          </w:p>
        </w:tc>
        <w:tc>
          <w:tcPr>
            <w:tcW w:w="1100" w:type="dxa"/>
            <w:tcBorders>
              <w:top w:val="nil"/>
              <w:left w:val="nil"/>
              <w:bottom w:val="single" w:color="000000" w:sz="4" w:space="0"/>
              <w:right w:val="single" w:color="000000" w:sz="4" w:space="0"/>
            </w:tcBorders>
            <w:vAlign w:val="center"/>
          </w:tcPr>
          <w:p w14:paraId="5FE4370D">
            <w:pPr>
              <w:widowControl/>
              <w:jc w:val="center"/>
              <w:rPr>
                <w:rFonts w:ascii="宋体" w:hAnsi="宋体" w:cs="Arial"/>
                <w:kern w:val="0"/>
                <w:sz w:val="18"/>
                <w:szCs w:val="18"/>
              </w:rPr>
            </w:pPr>
            <w:r>
              <w:rPr>
                <w:rFonts w:ascii="宋体" w:hAnsi="宋体" w:cs="Arial"/>
                <w:kern w:val="0"/>
                <w:sz w:val="18"/>
                <w:szCs w:val="18"/>
              </w:rPr>
              <w:t>★数据库开发调试工具</w:t>
            </w:r>
          </w:p>
        </w:tc>
        <w:tc>
          <w:tcPr>
            <w:tcW w:w="8953" w:type="dxa"/>
            <w:tcBorders>
              <w:top w:val="nil"/>
              <w:left w:val="nil"/>
              <w:bottom w:val="single" w:color="000000" w:sz="4" w:space="0"/>
              <w:right w:val="single" w:color="000000" w:sz="4" w:space="0"/>
            </w:tcBorders>
            <w:vAlign w:val="center"/>
          </w:tcPr>
          <w:p w14:paraId="5120C8D6">
            <w:pPr>
              <w:widowControl/>
              <w:jc w:val="left"/>
              <w:rPr>
                <w:rFonts w:ascii="宋体" w:hAnsi="宋体" w:cs="Arial"/>
                <w:kern w:val="0"/>
                <w:sz w:val="18"/>
                <w:szCs w:val="18"/>
              </w:rPr>
            </w:pPr>
            <w:r>
              <w:rPr>
                <w:rFonts w:ascii="宋体" w:hAnsi="宋体" w:cs="Arial"/>
                <w:kern w:val="0"/>
                <w:sz w:val="18"/>
                <w:szCs w:val="18"/>
              </w:rPr>
              <w:t xml:space="preserve"> a) 具备图形化功能，提高易用性； b) 具备导入、编辑、保存、执行 SQL语句和 SQL 脚本功能； c) 具备复制、编辑现有数据库对象功能； d) 具备关键词显示标记、动态语法提示的 SQL 编辑器功能</w:t>
            </w:r>
          </w:p>
        </w:tc>
      </w:tr>
      <w:tr w14:paraId="5D0EFA6E">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43039514">
            <w:pPr>
              <w:widowControl/>
              <w:jc w:val="center"/>
              <w:rPr>
                <w:rFonts w:ascii="宋体" w:hAnsi="宋体" w:cs="Arial"/>
                <w:kern w:val="0"/>
                <w:sz w:val="18"/>
                <w:szCs w:val="18"/>
              </w:rPr>
            </w:pPr>
            <w:r>
              <w:rPr>
                <w:rFonts w:ascii="宋体" w:hAnsi="宋体" w:cs="Arial"/>
                <w:kern w:val="0"/>
                <w:sz w:val="18"/>
                <w:szCs w:val="18"/>
              </w:rPr>
              <w:t xml:space="preserve">54 </w:t>
            </w:r>
          </w:p>
        </w:tc>
        <w:tc>
          <w:tcPr>
            <w:tcW w:w="1100" w:type="dxa"/>
            <w:tcBorders>
              <w:top w:val="nil"/>
              <w:left w:val="nil"/>
              <w:bottom w:val="single" w:color="000000" w:sz="4" w:space="0"/>
              <w:right w:val="single" w:color="000000" w:sz="4" w:space="0"/>
            </w:tcBorders>
            <w:vAlign w:val="center"/>
          </w:tcPr>
          <w:p w14:paraId="7B7AF502">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37163847">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6A79BAA8">
            <w:pPr>
              <w:widowControl/>
              <w:jc w:val="center"/>
              <w:rPr>
                <w:rFonts w:ascii="宋体" w:hAnsi="宋体" w:cs="Arial"/>
                <w:kern w:val="0"/>
                <w:sz w:val="18"/>
                <w:szCs w:val="18"/>
              </w:rPr>
            </w:pPr>
            <w:r>
              <w:rPr>
                <w:rFonts w:ascii="宋体" w:hAnsi="宋体" w:cs="Arial"/>
                <w:kern w:val="0"/>
                <w:sz w:val="18"/>
                <w:szCs w:val="18"/>
              </w:rPr>
              <w:t>数据库预编译工具</w:t>
            </w:r>
          </w:p>
        </w:tc>
        <w:tc>
          <w:tcPr>
            <w:tcW w:w="8953" w:type="dxa"/>
            <w:tcBorders>
              <w:top w:val="nil"/>
              <w:left w:val="nil"/>
              <w:bottom w:val="single" w:color="000000" w:sz="4" w:space="0"/>
              <w:right w:val="single" w:color="000000" w:sz="4" w:space="0"/>
            </w:tcBorders>
            <w:vAlign w:val="center"/>
          </w:tcPr>
          <w:p w14:paraId="5AFAA814">
            <w:pPr>
              <w:widowControl/>
              <w:jc w:val="left"/>
              <w:rPr>
                <w:rFonts w:ascii="宋体" w:hAnsi="宋体" w:cs="Arial"/>
                <w:kern w:val="0"/>
                <w:sz w:val="18"/>
                <w:szCs w:val="18"/>
              </w:rPr>
            </w:pPr>
            <w:r>
              <w:rPr>
                <w:rFonts w:ascii="宋体" w:hAnsi="宋体" w:cs="Arial"/>
                <w:kern w:val="0"/>
                <w:sz w:val="18"/>
                <w:szCs w:val="18"/>
              </w:rPr>
              <w:t>厂商提供预编译工具，支持嵌入式 SQL编程</w:t>
            </w:r>
          </w:p>
        </w:tc>
      </w:tr>
      <w:tr w14:paraId="2E295BBE">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22AA2EC5">
            <w:pPr>
              <w:widowControl/>
              <w:jc w:val="center"/>
              <w:rPr>
                <w:rFonts w:ascii="宋体" w:hAnsi="宋体" w:cs="Arial"/>
                <w:kern w:val="0"/>
                <w:sz w:val="18"/>
                <w:szCs w:val="18"/>
              </w:rPr>
            </w:pPr>
            <w:r>
              <w:rPr>
                <w:rFonts w:ascii="宋体" w:hAnsi="宋体" w:cs="Arial"/>
                <w:kern w:val="0"/>
                <w:sz w:val="18"/>
                <w:szCs w:val="18"/>
              </w:rPr>
              <w:t xml:space="preserve">55 </w:t>
            </w:r>
          </w:p>
        </w:tc>
        <w:tc>
          <w:tcPr>
            <w:tcW w:w="1100" w:type="dxa"/>
            <w:tcBorders>
              <w:top w:val="nil"/>
              <w:left w:val="nil"/>
              <w:bottom w:val="single" w:color="000000" w:sz="4" w:space="0"/>
              <w:right w:val="single" w:color="000000" w:sz="4" w:space="0"/>
            </w:tcBorders>
            <w:vAlign w:val="center"/>
          </w:tcPr>
          <w:p w14:paraId="75D1091D">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6F579DA9">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0F484D9D">
            <w:pPr>
              <w:widowControl/>
              <w:jc w:val="center"/>
              <w:rPr>
                <w:rFonts w:ascii="宋体" w:hAnsi="宋体" w:cs="Arial"/>
                <w:kern w:val="0"/>
                <w:sz w:val="18"/>
                <w:szCs w:val="18"/>
              </w:rPr>
            </w:pPr>
            <w:r>
              <w:rPr>
                <w:rFonts w:ascii="宋体" w:hAnsi="宋体" w:cs="Arial"/>
                <w:kern w:val="0"/>
                <w:sz w:val="18"/>
                <w:szCs w:val="18"/>
              </w:rPr>
              <w:t>网络配置工具</w:t>
            </w:r>
          </w:p>
        </w:tc>
        <w:tc>
          <w:tcPr>
            <w:tcW w:w="8953" w:type="dxa"/>
            <w:tcBorders>
              <w:top w:val="nil"/>
              <w:left w:val="nil"/>
              <w:bottom w:val="single" w:color="000000" w:sz="4" w:space="0"/>
              <w:right w:val="single" w:color="000000" w:sz="4" w:space="0"/>
            </w:tcBorders>
            <w:vAlign w:val="center"/>
          </w:tcPr>
          <w:p w14:paraId="63D64531">
            <w:pPr>
              <w:widowControl/>
              <w:jc w:val="left"/>
              <w:rPr>
                <w:rFonts w:ascii="宋体" w:hAnsi="宋体" w:cs="Arial"/>
                <w:kern w:val="0"/>
                <w:sz w:val="18"/>
                <w:szCs w:val="18"/>
              </w:rPr>
            </w:pPr>
            <w:r>
              <w:rPr>
                <w:rFonts w:ascii="宋体" w:hAnsi="宋体" w:cs="Arial"/>
                <w:kern w:val="0"/>
                <w:sz w:val="18"/>
                <w:szCs w:val="18"/>
              </w:rPr>
              <w:t>a) 提供客户端、服务器端网络配置向导；b) 支持配置网络连接参数、主机、端口、协议等内容</w:t>
            </w:r>
          </w:p>
        </w:tc>
      </w:tr>
      <w:tr w14:paraId="135B3E02">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03B153EE">
            <w:pPr>
              <w:widowControl/>
              <w:jc w:val="center"/>
              <w:rPr>
                <w:rFonts w:ascii="宋体" w:hAnsi="宋体" w:cs="Arial"/>
                <w:kern w:val="0"/>
                <w:sz w:val="18"/>
                <w:szCs w:val="18"/>
              </w:rPr>
            </w:pPr>
            <w:r>
              <w:rPr>
                <w:rFonts w:ascii="宋体" w:hAnsi="宋体" w:cs="Arial"/>
                <w:kern w:val="0"/>
                <w:sz w:val="18"/>
                <w:szCs w:val="18"/>
              </w:rPr>
              <w:t xml:space="preserve">56 </w:t>
            </w:r>
          </w:p>
        </w:tc>
        <w:tc>
          <w:tcPr>
            <w:tcW w:w="1100" w:type="dxa"/>
            <w:tcBorders>
              <w:top w:val="nil"/>
              <w:left w:val="nil"/>
              <w:bottom w:val="single" w:color="000000" w:sz="4" w:space="0"/>
              <w:right w:val="single" w:color="000000" w:sz="4" w:space="0"/>
            </w:tcBorders>
            <w:vAlign w:val="center"/>
          </w:tcPr>
          <w:p w14:paraId="44ED8503">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67149CBA">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1CCD8734">
            <w:pPr>
              <w:widowControl/>
              <w:jc w:val="center"/>
              <w:rPr>
                <w:rFonts w:ascii="宋体" w:hAnsi="宋体" w:cs="Arial"/>
                <w:kern w:val="0"/>
                <w:sz w:val="18"/>
                <w:szCs w:val="18"/>
              </w:rPr>
            </w:pPr>
            <w:r>
              <w:rPr>
                <w:rFonts w:ascii="宋体" w:hAnsi="宋体" w:cs="Arial"/>
                <w:kern w:val="0"/>
                <w:sz w:val="18"/>
                <w:szCs w:val="18"/>
              </w:rPr>
              <w:t>创建、修改、删除工具</w:t>
            </w:r>
          </w:p>
        </w:tc>
        <w:tc>
          <w:tcPr>
            <w:tcW w:w="8953" w:type="dxa"/>
            <w:tcBorders>
              <w:top w:val="nil"/>
              <w:left w:val="nil"/>
              <w:bottom w:val="single" w:color="000000" w:sz="4" w:space="0"/>
              <w:right w:val="single" w:color="000000" w:sz="4" w:space="0"/>
            </w:tcBorders>
            <w:vAlign w:val="center"/>
          </w:tcPr>
          <w:p w14:paraId="13C8A47E">
            <w:pPr>
              <w:widowControl/>
              <w:jc w:val="left"/>
              <w:rPr>
                <w:rFonts w:ascii="宋体" w:hAnsi="宋体" w:cs="Arial"/>
                <w:kern w:val="0"/>
                <w:sz w:val="18"/>
                <w:szCs w:val="18"/>
              </w:rPr>
            </w:pPr>
            <w:r>
              <w:rPr>
                <w:rFonts w:ascii="宋体" w:hAnsi="宋体" w:cs="Arial"/>
                <w:kern w:val="0"/>
                <w:sz w:val="18"/>
                <w:szCs w:val="18"/>
              </w:rPr>
              <w:t xml:space="preserve"> a) 支持数据库的创建、修改和删除； b) 支持配置数据库数据文件、日志文件、归档文件的存储位置、逻辑空间（如表空间）等参数； c) 支持配置数据库属性相关参数（如最大连接数等）</w:t>
            </w:r>
          </w:p>
        </w:tc>
      </w:tr>
      <w:tr w14:paraId="3CF205C8">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2E668A1A">
            <w:pPr>
              <w:widowControl/>
              <w:jc w:val="center"/>
              <w:rPr>
                <w:rFonts w:ascii="宋体" w:hAnsi="宋体" w:cs="Arial"/>
                <w:kern w:val="0"/>
                <w:sz w:val="18"/>
                <w:szCs w:val="18"/>
              </w:rPr>
            </w:pPr>
            <w:r>
              <w:rPr>
                <w:rFonts w:ascii="宋体" w:hAnsi="宋体" w:cs="Arial"/>
                <w:kern w:val="0"/>
                <w:sz w:val="18"/>
                <w:szCs w:val="18"/>
              </w:rPr>
              <w:t xml:space="preserve">57 </w:t>
            </w:r>
          </w:p>
        </w:tc>
        <w:tc>
          <w:tcPr>
            <w:tcW w:w="1100" w:type="dxa"/>
            <w:tcBorders>
              <w:top w:val="nil"/>
              <w:left w:val="nil"/>
              <w:bottom w:val="single" w:color="000000" w:sz="4" w:space="0"/>
              <w:right w:val="single" w:color="000000" w:sz="4" w:space="0"/>
            </w:tcBorders>
            <w:vAlign w:val="center"/>
          </w:tcPr>
          <w:p w14:paraId="2ECCC3D7">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0081D205">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0F62C52A">
            <w:pPr>
              <w:widowControl/>
              <w:jc w:val="center"/>
              <w:rPr>
                <w:rFonts w:ascii="宋体" w:hAnsi="宋体" w:cs="Arial"/>
                <w:kern w:val="0"/>
                <w:sz w:val="18"/>
                <w:szCs w:val="18"/>
              </w:rPr>
            </w:pPr>
            <w:r>
              <w:rPr>
                <w:rFonts w:ascii="宋体" w:hAnsi="宋体" w:cs="Arial"/>
                <w:kern w:val="0"/>
                <w:sz w:val="18"/>
                <w:szCs w:val="18"/>
              </w:rPr>
              <w:t>★用户、角色管理工具</w:t>
            </w:r>
          </w:p>
        </w:tc>
        <w:tc>
          <w:tcPr>
            <w:tcW w:w="8953" w:type="dxa"/>
            <w:tcBorders>
              <w:top w:val="nil"/>
              <w:left w:val="nil"/>
              <w:bottom w:val="single" w:color="000000" w:sz="4" w:space="0"/>
              <w:right w:val="single" w:color="000000" w:sz="4" w:space="0"/>
            </w:tcBorders>
            <w:vAlign w:val="center"/>
          </w:tcPr>
          <w:p w14:paraId="5B328A57">
            <w:pPr>
              <w:widowControl/>
              <w:jc w:val="left"/>
              <w:rPr>
                <w:rFonts w:ascii="宋体" w:hAnsi="宋体" w:cs="Arial"/>
                <w:kern w:val="0"/>
                <w:sz w:val="18"/>
                <w:szCs w:val="18"/>
              </w:rPr>
            </w:pPr>
            <w:r>
              <w:rPr>
                <w:rFonts w:ascii="宋体" w:hAnsi="宋体" w:cs="Arial"/>
                <w:kern w:val="0"/>
                <w:sz w:val="18"/>
                <w:szCs w:val="18"/>
              </w:rPr>
              <w:t xml:space="preserve"> a) 支持创建、修改、删除用户的功能； b）提供定义用户的功能； c) 支持创建、修改、删除角色的功能，且提供用户自定义角色的功能</w:t>
            </w:r>
          </w:p>
        </w:tc>
      </w:tr>
      <w:tr w14:paraId="75C66F9E">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2BD4A778">
            <w:pPr>
              <w:widowControl/>
              <w:jc w:val="center"/>
              <w:rPr>
                <w:rFonts w:ascii="宋体" w:hAnsi="宋体" w:cs="Arial"/>
                <w:kern w:val="0"/>
                <w:sz w:val="18"/>
                <w:szCs w:val="18"/>
              </w:rPr>
            </w:pPr>
            <w:r>
              <w:rPr>
                <w:rFonts w:ascii="宋体" w:hAnsi="宋体" w:cs="Arial"/>
                <w:kern w:val="0"/>
                <w:sz w:val="18"/>
                <w:szCs w:val="18"/>
              </w:rPr>
              <w:t xml:space="preserve">58 </w:t>
            </w:r>
          </w:p>
        </w:tc>
        <w:tc>
          <w:tcPr>
            <w:tcW w:w="1100" w:type="dxa"/>
            <w:tcBorders>
              <w:top w:val="nil"/>
              <w:left w:val="nil"/>
              <w:bottom w:val="single" w:color="000000" w:sz="4" w:space="0"/>
              <w:right w:val="single" w:color="000000" w:sz="4" w:space="0"/>
            </w:tcBorders>
            <w:vAlign w:val="center"/>
          </w:tcPr>
          <w:p w14:paraId="182969F5">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07D29ACC">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35893FD4">
            <w:pPr>
              <w:widowControl/>
              <w:jc w:val="center"/>
              <w:rPr>
                <w:rFonts w:ascii="宋体" w:hAnsi="宋体" w:cs="Arial"/>
                <w:kern w:val="0"/>
                <w:sz w:val="18"/>
                <w:szCs w:val="18"/>
              </w:rPr>
            </w:pPr>
            <w:r>
              <w:rPr>
                <w:rFonts w:ascii="宋体" w:hAnsi="宋体" w:cs="Arial"/>
                <w:kern w:val="0"/>
                <w:sz w:val="18"/>
                <w:szCs w:val="18"/>
              </w:rPr>
              <w:t>★SQL 执行计划查看工具</w:t>
            </w:r>
          </w:p>
        </w:tc>
        <w:tc>
          <w:tcPr>
            <w:tcW w:w="8953" w:type="dxa"/>
            <w:tcBorders>
              <w:top w:val="nil"/>
              <w:left w:val="nil"/>
              <w:bottom w:val="single" w:color="000000" w:sz="4" w:space="0"/>
              <w:right w:val="single" w:color="000000" w:sz="4" w:space="0"/>
            </w:tcBorders>
            <w:vAlign w:val="center"/>
          </w:tcPr>
          <w:p w14:paraId="6D6278F0">
            <w:pPr>
              <w:widowControl/>
              <w:jc w:val="left"/>
              <w:rPr>
                <w:rFonts w:ascii="宋体" w:hAnsi="宋体" w:cs="Arial"/>
                <w:kern w:val="0"/>
                <w:sz w:val="18"/>
                <w:szCs w:val="18"/>
              </w:rPr>
            </w:pPr>
            <w:r>
              <w:rPr>
                <w:rFonts w:ascii="宋体" w:hAnsi="宋体" w:cs="Arial"/>
                <w:kern w:val="0"/>
                <w:sz w:val="18"/>
                <w:szCs w:val="18"/>
              </w:rPr>
              <w:t xml:space="preserve"> a) 提供与数据库管理系统进行 SQL 交互的工具，方便运维工作； b) 支持查看 SQL 语句查询执行计划与统计信息</w:t>
            </w:r>
          </w:p>
        </w:tc>
      </w:tr>
      <w:tr w14:paraId="245521CD">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58B4F7E8">
            <w:pPr>
              <w:widowControl/>
              <w:jc w:val="center"/>
              <w:rPr>
                <w:rFonts w:ascii="宋体" w:hAnsi="宋体" w:cs="Arial"/>
                <w:kern w:val="0"/>
                <w:sz w:val="18"/>
                <w:szCs w:val="18"/>
              </w:rPr>
            </w:pPr>
            <w:r>
              <w:rPr>
                <w:rFonts w:ascii="宋体" w:hAnsi="宋体" w:cs="Arial"/>
                <w:kern w:val="0"/>
                <w:sz w:val="18"/>
                <w:szCs w:val="18"/>
              </w:rPr>
              <w:t xml:space="preserve">59 </w:t>
            </w:r>
          </w:p>
        </w:tc>
        <w:tc>
          <w:tcPr>
            <w:tcW w:w="1100" w:type="dxa"/>
            <w:tcBorders>
              <w:top w:val="nil"/>
              <w:left w:val="nil"/>
              <w:bottom w:val="single" w:color="000000" w:sz="4" w:space="0"/>
              <w:right w:val="single" w:color="000000" w:sz="4" w:space="0"/>
            </w:tcBorders>
            <w:vAlign w:val="center"/>
          </w:tcPr>
          <w:p w14:paraId="319774B2">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1A649C58">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20CEA0FB">
            <w:pPr>
              <w:widowControl/>
              <w:jc w:val="center"/>
              <w:rPr>
                <w:rFonts w:ascii="宋体" w:hAnsi="宋体" w:cs="Arial"/>
                <w:kern w:val="0"/>
                <w:sz w:val="18"/>
                <w:szCs w:val="18"/>
              </w:rPr>
            </w:pPr>
            <w:r>
              <w:rPr>
                <w:rFonts w:ascii="宋体" w:hAnsi="宋体" w:cs="Arial"/>
                <w:kern w:val="0"/>
                <w:sz w:val="18"/>
                <w:szCs w:val="18"/>
              </w:rPr>
              <w:t>★数据库对象工具</w:t>
            </w:r>
          </w:p>
        </w:tc>
        <w:tc>
          <w:tcPr>
            <w:tcW w:w="8953" w:type="dxa"/>
            <w:tcBorders>
              <w:top w:val="nil"/>
              <w:left w:val="nil"/>
              <w:bottom w:val="single" w:color="000000" w:sz="4" w:space="0"/>
              <w:right w:val="single" w:color="000000" w:sz="4" w:space="0"/>
            </w:tcBorders>
            <w:vAlign w:val="center"/>
          </w:tcPr>
          <w:p w14:paraId="32027BD3">
            <w:pPr>
              <w:widowControl/>
              <w:jc w:val="left"/>
              <w:rPr>
                <w:rFonts w:ascii="宋体" w:hAnsi="宋体" w:cs="Arial"/>
                <w:kern w:val="0"/>
                <w:sz w:val="18"/>
                <w:szCs w:val="18"/>
              </w:rPr>
            </w:pPr>
            <w:r>
              <w:rPr>
                <w:rFonts w:ascii="宋体" w:hAnsi="宋体" w:cs="Arial"/>
                <w:kern w:val="0"/>
                <w:sz w:val="18"/>
                <w:szCs w:val="18"/>
              </w:rPr>
              <w:t xml:space="preserve"> a) 支持创建、修改、删除表的功能，支持定义表结构、约束、存储配置管理的功能； b) 支持创建、修改、删除索引的功能，支持定义索引结构、类型、存储配置管理的功能； c) 支持创建、修改、删除视图的功能，支持视图定义的功能； d) 支持创建、修改、删除约束的功能，支持约束定义的功能</w:t>
            </w:r>
          </w:p>
        </w:tc>
      </w:tr>
      <w:tr w14:paraId="3C19F1E8">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70FE6845">
            <w:pPr>
              <w:widowControl/>
              <w:jc w:val="center"/>
              <w:rPr>
                <w:rFonts w:ascii="宋体" w:hAnsi="宋体" w:cs="Arial"/>
                <w:kern w:val="0"/>
                <w:sz w:val="18"/>
                <w:szCs w:val="18"/>
              </w:rPr>
            </w:pPr>
            <w:r>
              <w:rPr>
                <w:rFonts w:ascii="宋体" w:hAnsi="宋体" w:cs="Arial"/>
                <w:kern w:val="0"/>
                <w:sz w:val="18"/>
                <w:szCs w:val="18"/>
              </w:rPr>
              <w:t xml:space="preserve">60 </w:t>
            </w:r>
          </w:p>
        </w:tc>
        <w:tc>
          <w:tcPr>
            <w:tcW w:w="1100" w:type="dxa"/>
            <w:tcBorders>
              <w:top w:val="nil"/>
              <w:left w:val="nil"/>
              <w:bottom w:val="single" w:color="000000" w:sz="4" w:space="0"/>
              <w:right w:val="single" w:color="000000" w:sz="4" w:space="0"/>
            </w:tcBorders>
            <w:vAlign w:val="center"/>
          </w:tcPr>
          <w:p w14:paraId="6AF3251C">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0CE3A1BB">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13C02E78">
            <w:pPr>
              <w:widowControl/>
              <w:jc w:val="center"/>
              <w:rPr>
                <w:rFonts w:ascii="宋体" w:hAnsi="宋体" w:cs="Arial"/>
                <w:kern w:val="0"/>
                <w:sz w:val="18"/>
                <w:szCs w:val="18"/>
              </w:rPr>
            </w:pPr>
            <w:r>
              <w:rPr>
                <w:rFonts w:ascii="宋体" w:hAnsi="宋体" w:cs="Arial"/>
                <w:kern w:val="0"/>
                <w:sz w:val="18"/>
                <w:szCs w:val="18"/>
              </w:rPr>
              <w:t>★导入导出工具</w:t>
            </w:r>
          </w:p>
        </w:tc>
        <w:tc>
          <w:tcPr>
            <w:tcW w:w="8953" w:type="dxa"/>
            <w:tcBorders>
              <w:top w:val="nil"/>
              <w:left w:val="nil"/>
              <w:bottom w:val="single" w:color="000000" w:sz="4" w:space="0"/>
              <w:right w:val="single" w:color="000000" w:sz="4" w:space="0"/>
            </w:tcBorders>
            <w:vAlign w:val="center"/>
          </w:tcPr>
          <w:p w14:paraId="4EC37986">
            <w:pPr>
              <w:widowControl/>
              <w:jc w:val="left"/>
              <w:rPr>
                <w:rFonts w:ascii="宋体" w:hAnsi="宋体" w:cs="Arial"/>
                <w:kern w:val="0"/>
                <w:sz w:val="18"/>
                <w:szCs w:val="18"/>
              </w:rPr>
            </w:pPr>
            <w:r>
              <w:rPr>
                <w:rFonts w:ascii="宋体" w:hAnsi="宋体" w:cs="Arial"/>
                <w:kern w:val="0"/>
                <w:sz w:val="18"/>
                <w:szCs w:val="18"/>
              </w:rPr>
              <w:t xml:space="preserve"> a) 支持导出不同格式，可以将不同格式数据导入到数据库中； b) 支持不同级别和不同数据库对象的导入/导出功能； c) 支持从文本文件或者其他上游数据源将数据导入； d) 支持 SQL 脚本进行导入导出</w:t>
            </w:r>
          </w:p>
        </w:tc>
      </w:tr>
      <w:tr w14:paraId="12E24DC3">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4A621E28">
            <w:pPr>
              <w:widowControl/>
              <w:jc w:val="center"/>
              <w:rPr>
                <w:rFonts w:ascii="宋体" w:hAnsi="宋体" w:cs="Arial"/>
                <w:kern w:val="0"/>
                <w:sz w:val="18"/>
                <w:szCs w:val="18"/>
              </w:rPr>
            </w:pPr>
            <w:r>
              <w:rPr>
                <w:rFonts w:ascii="宋体" w:hAnsi="宋体" w:cs="Arial"/>
                <w:kern w:val="0"/>
                <w:sz w:val="18"/>
                <w:szCs w:val="18"/>
              </w:rPr>
              <w:t xml:space="preserve">61 </w:t>
            </w:r>
          </w:p>
        </w:tc>
        <w:tc>
          <w:tcPr>
            <w:tcW w:w="1100" w:type="dxa"/>
            <w:tcBorders>
              <w:top w:val="nil"/>
              <w:left w:val="nil"/>
              <w:bottom w:val="single" w:color="000000" w:sz="4" w:space="0"/>
              <w:right w:val="single" w:color="000000" w:sz="4" w:space="0"/>
            </w:tcBorders>
            <w:vAlign w:val="center"/>
          </w:tcPr>
          <w:p w14:paraId="312BCC4F">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7849BC20">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3FC31821">
            <w:pPr>
              <w:widowControl/>
              <w:jc w:val="center"/>
              <w:rPr>
                <w:rFonts w:ascii="宋体" w:hAnsi="宋体" w:cs="Arial"/>
                <w:kern w:val="0"/>
                <w:sz w:val="18"/>
                <w:szCs w:val="18"/>
              </w:rPr>
            </w:pPr>
            <w:r>
              <w:rPr>
                <w:rFonts w:ascii="宋体" w:hAnsi="宋体" w:cs="Arial"/>
                <w:kern w:val="0"/>
                <w:sz w:val="18"/>
                <w:szCs w:val="18"/>
              </w:rPr>
              <w:t>触发器、存储过程/函数工具</w:t>
            </w:r>
          </w:p>
        </w:tc>
        <w:tc>
          <w:tcPr>
            <w:tcW w:w="8953" w:type="dxa"/>
            <w:tcBorders>
              <w:top w:val="nil"/>
              <w:left w:val="nil"/>
              <w:bottom w:val="single" w:color="000000" w:sz="4" w:space="0"/>
              <w:right w:val="single" w:color="000000" w:sz="4" w:space="0"/>
            </w:tcBorders>
            <w:vAlign w:val="center"/>
          </w:tcPr>
          <w:p w14:paraId="3A81713F">
            <w:pPr>
              <w:widowControl/>
              <w:jc w:val="left"/>
              <w:rPr>
                <w:rFonts w:ascii="宋体" w:hAnsi="宋体" w:cs="Arial"/>
                <w:kern w:val="0"/>
                <w:sz w:val="18"/>
                <w:szCs w:val="18"/>
              </w:rPr>
            </w:pPr>
            <w:r>
              <w:rPr>
                <w:rFonts w:ascii="宋体" w:hAnsi="宋体" w:cs="Arial"/>
                <w:kern w:val="0"/>
                <w:sz w:val="18"/>
                <w:szCs w:val="18"/>
              </w:rPr>
              <w:t xml:space="preserve"> a) 支持创建、修改、删除触发器的功能，支持触发条件、事件的设置； b) 支持创建、修改、删除存储过程/函数的功能，提供定义存储过程/函数的工具</w:t>
            </w:r>
          </w:p>
        </w:tc>
      </w:tr>
      <w:tr w14:paraId="450EE4F1">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0ECDFD72">
            <w:pPr>
              <w:widowControl/>
              <w:jc w:val="center"/>
              <w:rPr>
                <w:rFonts w:ascii="宋体" w:hAnsi="宋体" w:cs="Arial"/>
                <w:kern w:val="0"/>
                <w:sz w:val="18"/>
                <w:szCs w:val="18"/>
              </w:rPr>
            </w:pPr>
            <w:r>
              <w:rPr>
                <w:rFonts w:ascii="宋体" w:hAnsi="宋体" w:cs="Arial"/>
                <w:kern w:val="0"/>
                <w:sz w:val="18"/>
                <w:szCs w:val="18"/>
              </w:rPr>
              <w:t xml:space="preserve">62 </w:t>
            </w:r>
          </w:p>
        </w:tc>
        <w:tc>
          <w:tcPr>
            <w:tcW w:w="1100" w:type="dxa"/>
            <w:tcBorders>
              <w:top w:val="nil"/>
              <w:left w:val="nil"/>
              <w:bottom w:val="single" w:color="000000" w:sz="4" w:space="0"/>
              <w:right w:val="single" w:color="000000" w:sz="4" w:space="0"/>
            </w:tcBorders>
            <w:vAlign w:val="center"/>
          </w:tcPr>
          <w:p w14:paraId="0F80BC75">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58CA9744">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6F19DF78">
            <w:pPr>
              <w:widowControl/>
              <w:jc w:val="center"/>
              <w:rPr>
                <w:rFonts w:ascii="宋体" w:hAnsi="宋体" w:cs="Arial"/>
                <w:kern w:val="0"/>
                <w:sz w:val="18"/>
                <w:szCs w:val="18"/>
              </w:rPr>
            </w:pPr>
            <w:r>
              <w:rPr>
                <w:rFonts w:ascii="宋体" w:hAnsi="宋体" w:cs="Arial"/>
                <w:kern w:val="0"/>
                <w:sz w:val="18"/>
                <w:szCs w:val="18"/>
              </w:rPr>
              <w:t>★数据库运维工具</w:t>
            </w:r>
          </w:p>
        </w:tc>
        <w:tc>
          <w:tcPr>
            <w:tcW w:w="8953" w:type="dxa"/>
            <w:tcBorders>
              <w:top w:val="nil"/>
              <w:left w:val="nil"/>
              <w:bottom w:val="single" w:color="000000" w:sz="4" w:space="0"/>
              <w:right w:val="single" w:color="000000" w:sz="4" w:space="0"/>
            </w:tcBorders>
            <w:vAlign w:val="center"/>
          </w:tcPr>
          <w:p w14:paraId="4E9F01A5">
            <w:pPr>
              <w:widowControl/>
              <w:jc w:val="left"/>
              <w:rPr>
                <w:rFonts w:ascii="宋体" w:hAnsi="宋体" w:cs="Arial"/>
                <w:kern w:val="0"/>
                <w:sz w:val="18"/>
                <w:szCs w:val="18"/>
              </w:rPr>
            </w:pPr>
            <w:r>
              <w:rPr>
                <w:rFonts w:ascii="宋体" w:hAnsi="宋体" w:cs="Arial"/>
                <w:kern w:val="0"/>
                <w:sz w:val="18"/>
                <w:szCs w:val="18"/>
              </w:rPr>
              <w:t xml:space="preserve"> a) 支持数据库、数据库存储对象结构、数据、统计信息更新维护； b) 支持数据库创建、数据库修改、数据库删除、数据库模板维护； c) 支持数据库任务自动化调度作业管理； d) 支持图形化展示数据库管理的各种元数据界面，展示的内容具有层次性，包括模式、非模式数据字典信息</w:t>
            </w:r>
          </w:p>
        </w:tc>
      </w:tr>
      <w:tr w14:paraId="0F047360">
        <w:tblPrEx>
          <w:tblCellMar>
            <w:top w:w="0" w:type="dxa"/>
            <w:left w:w="108" w:type="dxa"/>
            <w:bottom w:w="0" w:type="dxa"/>
            <w:right w:w="108" w:type="dxa"/>
          </w:tblCellMar>
        </w:tblPrEx>
        <w:trPr>
          <w:trHeight w:val="926" w:hRule="atLeast"/>
        </w:trPr>
        <w:tc>
          <w:tcPr>
            <w:tcW w:w="500" w:type="dxa"/>
            <w:tcBorders>
              <w:top w:val="nil"/>
              <w:left w:val="single" w:color="000000" w:sz="4" w:space="0"/>
              <w:bottom w:val="single" w:color="000000" w:sz="4" w:space="0"/>
              <w:right w:val="single" w:color="000000" w:sz="4" w:space="0"/>
            </w:tcBorders>
            <w:vAlign w:val="center"/>
          </w:tcPr>
          <w:p w14:paraId="6771CEC2">
            <w:pPr>
              <w:widowControl/>
              <w:jc w:val="center"/>
              <w:rPr>
                <w:rFonts w:ascii="宋体" w:hAnsi="宋体" w:cs="Arial"/>
                <w:kern w:val="0"/>
                <w:sz w:val="18"/>
                <w:szCs w:val="18"/>
              </w:rPr>
            </w:pPr>
            <w:r>
              <w:rPr>
                <w:rFonts w:ascii="宋体" w:hAnsi="宋体" w:cs="Arial"/>
                <w:kern w:val="0"/>
                <w:sz w:val="18"/>
                <w:szCs w:val="18"/>
              </w:rPr>
              <w:t xml:space="preserve">63 </w:t>
            </w:r>
          </w:p>
        </w:tc>
        <w:tc>
          <w:tcPr>
            <w:tcW w:w="1100" w:type="dxa"/>
            <w:tcBorders>
              <w:top w:val="nil"/>
              <w:left w:val="nil"/>
              <w:bottom w:val="single" w:color="000000" w:sz="4" w:space="0"/>
              <w:right w:val="single" w:color="000000" w:sz="4" w:space="0"/>
            </w:tcBorders>
            <w:vAlign w:val="center"/>
          </w:tcPr>
          <w:p w14:paraId="1415E72F">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2752AF79">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2A226DAE">
            <w:pPr>
              <w:widowControl/>
              <w:jc w:val="center"/>
              <w:rPr>
                <w:rFonts w:ascii="宋体" w:hAnsi="宋体" w:cs="Arial"/>
                <w:kern w:val="0"/>
                <w:sz w:val="18"/>
                <w:szCs w:val="18"/>
              </w:rPr>
            </w:pPr>
            <w:r>
              <w:rPr>
                <w:rFonts w:ascii="宋体" w:hAnsi="宋体" w:cs="Arial"/>
                <w:kern w:val="0"/>
                <w:sz w:val="18"/>
                <w:szCs w:val="18"/>
              </w:rPr>
              <w:t>监控跟踪工具</w:t>
            </w:r>
          </w:p>
        </w:tc>
        <w:tc>
          <w:tcPr>
            <w:tcW w:w="8953" w:type="dxa"/>
            <w:tcBorders>
              <w:top w:val="nil"/>
              <w:left w:val="nil"/>
              <w:bottom w:val="single" w:color="000000" w:sz="4" w:space="0"/>
              <w:right w:val="single" w:color="000000" w:sz="4" w:space="0"/>
            </w:tcBorders>
            <w:vAlign w:val="center"/>
          </w:tcPr>
          <w:p w14:paraId="05D672F2">
            <w:pPr>
              <w:widowControl/>
              <w:jc w:val="left"/>
              <w:rPr>
                <w:rFonts w:ascii="宋体" w:hAnsi="宋体" w:cs="Arial"/>
                <w:kern w:val="0"/>
                <w:sz w:val="18"/>
                <w:szCs w:val="18"/>
              </w:rPr>
            </w:pPr>
            <w:r>
              <w:rPr>
                <w:rFonts w:ascii="宋体" w:hAnsi="宋体" w:cs="Arial"/>
                <w:kern w:val="0"/>
                <w:sz w:val="18"/>
                <w:szCs w:val="18"/>
              </w:rPr>
              <w:t xml:space="preserve"> a) 收集和统计数据库某时间段的运行状态及性能信息，判断该时间的数据库运行性能瓶颈； b) 支持系统状态监控能力，包括对集群、服务器和数据库状态的监控等； c) 支持性能瓶颈跟踪、运行过程监测与调优； d) 提供数据库实例、网络通信、数据库对象的跟踪日志，日志数据准确、完整； e) 支持特定事件或事务发生时收集监控数据库活动事务数据； f) 支持跟踪数据库等待事件；g) 提供捕获并记录实例、数据库在特定时间点的状态</w:t>
            </w:r>
          </w:p>
        </w:tc>
      </w:tr>
      <w:tr w14:paraId="5EC9F014">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38CAEBF6">
            <w:pPr>
              <w:widowControl/>
              <w:jc w:val="center"/>
              <w:rPr>
                <w:rFonts w:ascii="宋体" w:hAnsi="宋体" w:cs="Arial"/>
                <w:kern w:val="0"/>
                <w:sz w:val="18"/>
                <w:szCs w:val="18"/>
              </w:rPr>
            </w:pPr>
            <w:r>
              <w:rPr>
                <w:rFonts w:ascii="宋体" w:hAnsi="宋体" w:cs="Arial"/>
                <w:kern w:val="0"/>
                <w:sz w:val="18"/>
                <w:szCs w:val="18"/>
              </w:rPr>
              <w:t xml:space="preserve">64 </w:t>
            </w:r>
          </w:p>
        </w:tc>
        <w:tc>
          <w:tcPr>
            <w:tcW w:w="1100" w:type="dxa"/>
            <w:tcBorders>
              <w:top w:val="nil"/>
              <w:left w:val="nil"/>
              <w:bottom w:val="single" w:color="000000" w:sz="4" w:space="0"/>
              <w:right w:val="single" w:color="000000" w:sz="4" w:space="0"/>
            </w:tcBorders>
            <w:vAlign w:val="center"/>
          </w:tcPr>
          <w:p w14:paraId="5BCB1E26">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restart"/>
            <w:tcBorders>
              <w:top w:val="nil"/>
              <w:left w:val="single" w:color="000000" w:sz="4" w:space="0"/>
              <w:bottom w:val="single" w:color="000000" w:sz="4" w:space="0"/>
              <w:right w:val="single" w:color="000000" w:sz="4" w:space="0"/>
            </w:tcBorders>
            <w:vAlign w:val="center"/>
          </w:tcPr>
          <w:p w14:paraId="1A507338">
            <w:pPr>
              <w:widowControl/>
              <w:jc w:val="center"/>
              <w:rPr>
                <w:rFonts w:ascii="宋体" w:hAnsi="宋体" w:cs="Arial"/>
                <w:kern w:val="0"/>
                <w:sz w:val="18"/>
                <w:szCs w:val="18"/>
              </w:rPr>
            </w:pPr>
            <w:r>
              <w:rPr>
                <w:rFonts w:ascii="宋体" w:hAnsi="宋体" w:cs="Arial"/>
                <w:kern w:val="0"/>
                <w:sz w:val="18"/>
                <w:szCs w:val="18"/>
              </w:rPr>
              <w:t>图形化管理</w:t>
            </w:r>
          </w:p>
        </w:tc>
        <w:tc>
          <w:tcPr>
            <w:tcW w:w="1100" w:type="dxa"/>
            <w:tcBorders>
              <w:top w:val="nil"/>
              <w:left w:val="nil"/>
              <w:bottom w:val="single" w:color="000000" w:sz="4" w:space="0"/>
              <w:right w:val="single" w:color="000000" w:sz="4" w:space="0"/>
            </w:tcBorders>
            <w:vAlign w:val="center"/>
          </w:tcPr>
          <w:p w14:paraId="1B60F5E6">
            <w:pPr>
              <w:widowControl/>
              <w:jc w:val="center"/>
              <w:rPr>
                <w:rFonts w:ascii="宋体" w:hAnsi="宋体" w:cs="Arial"/>
                <w:kern w:val="0"/>
                <w:sz w:val="18"/>
                <w:szCs w:val="18"/>
              </w:rPr>
            </w:pPr>
            <w:r>
              <w:rPr>
                <w:rFonts w:ascii="宋体" w:hAnsi="宋体" w:cs="Arial"/>
                <w:kern w:val="0"/>
                <w:sz w:val="18"/>
                <w:szCs w:val="18"/>
              </w:rPr>
              <w:t>图形化远程启动、关闭数据库</w:t>
            </w:r>
          </w:p>
        </w:tc>
        <w:tc>
          <w:tcPr>
            <w:tcW w:w="8953" w:type="dxa"/>
            <w:tcBorders>
              <w:top w:val="nil"/>
              <w:left w:val="nil"/>
              <w:bottom w:val="single" w:color="000000" w:sz="4" w:space="0"/>
              <w:right w:val="single" w:color="000000" w:sz="4" w:space="0"/>
            </w:tcBorders>
            <w:vAlign w:val="center"/>
          </w:tcPr>
          <w:p w14:paraId="71C64820">
            <w:pPr>
              <w:widowControl/>
              <w:jc w:val="left"/>
              <w:rPr>
                <w:rFonts w:ascii="宋体" w:hAnsi="宋体" w:cs="Arial"/>
                <w:kern w:val="0"/>
                <w:sz w:val="18"/>
                <w:szCs w:val="18"/>
              </w:rPr>
            </w:pPr>
            <w:r>
              <w:rPr>
                <w:rFonts w:ascii="宋体" w:hAnsi="宋体" w:cs="Arial"/>
                <w:kern w:val="0"/>
                <w:sz w:val="18"/>
                <w:szCs w:val="18"/>
              </w:rPr>
              <w:t xml:space="preserve"> a) 提供数据库资源配置向导； b) 提供远程数据库服务启动、关闭功能</w:t>
            </w:r>
          </w:p>
        </w:tc>
      </w:tr>
      <w:tr w14:paraId="5F24D321">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040C243C">
            <w:pPr>
              <w:widowControl/>
              <w:jc w:val="center"/>
              <w:rPr>
                <w:rFonts w:ascii="宋体" w:hAnsi="宋体" w:cs="Arial"/>
                <w:kern w:val="0"/>
                <w:sz w:val="18"/>
                <w:szCs w:val="18"/>
              </w:rPr>
            </w:pPr>
            <w:r>
              <w:rPr>
                <w:rFonts w:ascii="宋体" w:hAnsi="宋体" w:cs="Arial"/>
                <w:kern w:val="0"/>
                <w:sz w:val="18"/>
                <w:szCs w:val="18"/>
              </w:rPr>
              <w:t xml:space="preserve">65 </w:t>
            </w:r>
          </w:p>
        </w:tc>
        <w:tc>
          <w:tcPr>
            <w:tcW w:w="1100" w:type="dxa"/>
            <w:tcBorders>
              <w:top w:val="nil"/>
              <w:left w:val="nil"/>
              <w:bottom w:val="single" w:color="000000" w:sz="4" w:space="0"/>
              <w:right w:val="single" w:color="000000" w:sz="4" w:space="0"/>
            </w:tcBorders>
            <w:vAlign w:val="center"/>
          </w:tcPr>
          <w:p w14:paraId="60D6B3AA">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27B75E7F">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40B0EA87">
            <w:pPr>
              <w:widowControl/>
              <w:jc w:val="center"/>
              <w:rPr>
                <w:rFonts w:ascii="宋体" w:hAnsi="宋体" w:cs="Arial"/>
                <w:kern w:val="0"/>
                <w:sz w:val="18"/>
                <w:szCs w:val="18"/>
              </w:rPr>
            </w:pPr>
            <w:r>
              <w:rPr>
                <w:rFonts w:ascii="宋体" w:hAnsi="宋体" w:cs="Arial"/>
                <w:kern w:val="0"/>
                <w:sz w:val="18"/>
                <w:szCs w:val="18"/>
              </w:rPr>
              <w:t>★图形化的开发工具</w:t>
            </w:r>
          </w:p>
        </w:tc>
        <w:tc>
          <w:tcPr>
            <w:tcW w:w="8953" w:type="dxa"/>
            <w:tcBorders>
              <w:top w:val="nil"/>
              <w:left w:val="nil"/>
              <w:bottom w:val="single" w:color="000000" w:sz="4" w:space="0"/>
              <w:right w:val="single" w:color="000000" w:sz="4" w:space="0"/>
            </w:tcBorders>
            <w:vAlign w:val="center"/>
          </w:tcPr>
          <w:p w14:paraId="5E222651">
            <w:pPr>
              <w:widowControl/>
              <w:jc w:val="left"/>
              <w:rPr>
                <w:rFonts w:ascii="宋体" w:hAnsi="宋体" w:cs="Arial"/>
                <w:kern w:val="0"/>
                <w:sz w:val="18"/>
                <w:szCs w:val="18"/>
              </w:rPr>
            </w:pPr>
            <w:r>
              <w:rPr>
                <w:rFonts w:ascii="宋体" w:hAnsi="宋体" w:cs="Arial"/>
                <w:kern w:val="0"/>
                <w:sz w:val="18"/>
                <w:szCs w:val="18"/>
              </w:rPr>
              <w:t>厂商提供图形化的开发工具</w:t>
            </w:r>
          </w:p>
        </w:tc>
      </w:tr>
      <w:tr w14:paraId="2168F21B">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22C493CC">
            <w:pPr>
              <w:widowControl/>
              <w:jc w:val="center"/>
              <w:rPr>
                <w:rFonts w:ascii="宋体" w:hAnsi="宋体" w:cs="Arial"/>
                <w:kern w:val="0"/>
                <w:sz w:val="18"/>
                <w:szCs w:val="18"/>
              </w:rPr>
            </w:pPr>
            <w:r>
              <w:rPr>
                <w:rFonts w:ascii="宋体" w:hAnsi="宋体" w:cs="Arial"/>
                <w:kern w:val="0"/>
                <w:sz w:val="18"/>
                <w:szCs w:val="18"/>
              </w:rPr>
              <w:t xml:space="preserve">66 </w:t>
            </w:r>
          </w:p>
        </w:tc>
        <w:tc>
          <w:tcPr>
            <w:tcW w:w="1100" w:type="dxa"/>
            <w:tcBorders>
              <w:top w:val="nil"/>
              <w:left w:val="nil"/>
              <w:bottom w:val="single" w:color="000000" w:sz="4" w:space="0"/>
              <w:right w:val="single" w:color="000000" w:sz="4" w:space="0"/>
            </w:tcBorders>
            <w:vAlign w:val="center"/>
          </w:tcPr>
          <w:p w14:paraId="6A66C7C8">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040B3939">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3D9EF2F5">
            <w:pPr>
              <w:widowControl/>
              <w:jc w:val="center"/>
              <w:rPr>
                <w:rFonts w:ascii="宋体" w:hAnsi="宋体" w:cs="Arial"/>
                <w:kern w:val="0"/>
                <w:sz w:val="18"/>
                <w:szCs w:val="18"/>
              </w:rPr>
            </w:pPr>
            <w:r>
              <w:rPr>
                <w:rFonts w:ascii="宋体" w:hAnsi="宋体" w:cs="Arial"/>
                <w:kern w:val="0"/>
                <w:sz w:val="18"/>
                <w:szCs w:val="18"/>
              </w:rPr>
              <w:t>★图形化运维工具</w:t>
            </w:r>
          </w:p>
        </w:tc>
        <w:tc>
          <w:tcPr>
            <w:tcW w:w="8953" w:type="dxa"/>
            <w:tcBorders>
              <w:top w:val="nil"/>
              <w:left w:val="nil"/>
              <w:bottom w:val="single" w:color="000000" w:sz="4" w:space="0"/>
              <w:right w:val="single" w:color="000000" w:sz="4" w:space="0"/>
            </w:tcBorders>
            <w:vAlign w:val="center"/>
          </w:tcPr>
          <w:p w14:paraId="15DB8423">
            <w:pPr>
              <w:widowControl/>
              <w:jc w:val="left"/>
              <w:rPr>
                <w:rFonts w:ascii="宋体" w:hAnsi="宋体" w:cs="Arial"/>
                <w:kern w:val="0"/>
                <w:sz w:val="18"/>
                <w:szCs w:val="18"/>
              </w:rPr>
            </w:pPr>
            <w:r>
              <w:rPr>
                <w:rFonts w:ascii="宋体" w:hAnsi="宋体" w:cs="Arial"/>
                <w:kern w:val="0"/>
                <w:sz w:val="18"/>
                <w:szCs w:val="18"/>
              </w:rPr>
              <w:t>厂商提供图形化的运维工具</w:t>
            </w:r>
          </w:p>
        </w:tc>
      </w:tr>
      <w:tr w14:paraId="3F71AB97">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521CC2E9">
            <w:pPr>
              <w:widowControl/>
              <w:jc w:val="center"/>
              <w:rPr>
                <w:rFonts w:ascii="宋体" w:hAnsi="宋体" w:cs="Arial"/>
                <w:kern w:val="0"/>
                <w:sz w:val="18"/>
                <w:szCs w:val="18"/>
              </w:rPr>
            </w:pPr>
            <w:r>
              <w:rPr>
                <w:rFonts w:ascii="宋体" w:hAnsi="宋体" w:cs="Arial"/>
                <w:kern w:val="0"/>
                <w:sz w:val="18"/>
                <w:szCs w:val="18"/>
              </w:rPr>
              <w:t xml:space="preserve">67 </w:t>
            </w:r>
          </w:p>
        </w:tc>
        <w:tc>
          <w:tcPr>
            <w:tcW w:w="1100" w:type="dxa"/>
            <w:tcBorders>
              <w:top w:val="nil"/>
              <w:left w:val="nil"/>
              <w:bottom w:val="single" w:color="000000" w:sz="4" w:space="0"/>
              <w:right w:val="single" w:color="000000" w:sz="4" w:space="0"/>
            </w:tcBorders>
            <w:vAlign w:val="center"/>
          </w:tcPr>
          <w:p w14:paraId="346E3AF7">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03D8D2CD">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301BB760">
            <w:pPr>
              <w:widowControl/>
              <w:jc w:val="center"/>
              <w:rPr>
                <w:rFonts w:ascii="宋体" w:hAnsi="宋体" w:cs="Arial"/>
                <w:kern w:val="0"/>
                <w:sz w:val="18"/>
                <w:szCs w:val="18"/>
              </w:rPr>
            </w:pPr>
            <w:r>
              <w:rPr>
                <w:rFonts w:ascii="宋体" w:hAnsi="宋体" w:cs="Arial"/>
                <w:kern w:val="0"/>
                <w:sz w:val="18"/>
                <w:szCs w:val="18"/>
              </w:rPr>
              <w:t>图形化展示工具</w:t>
            </w:r>
          </w:p>
        </w:tc>
        <w:tc>
          <w:tcPr>
            <w:tcW w:w="8953" w:type="dxa"/>
            <w:tcBorders>
              <w:top w:val="nil"/>
              <w:left w:val="nil"/>
              <w:bottom w:val="single" w:color="000000" w:sz="4" w:space="0"/>
              <w:right w:val="single" w:color="000000" w:sz="4" w:space="0"/>
            </w:tcBorders>
            <w:vAlign w:val="center"/>
          </w:tcPr>
          <w:p w14:paraId="32569A7E">
            <w:pPr>
              <w:widowControl/>
              <w:jc w:val="left"/>
              <w:rPr>
                <w:rFonts w:ascii="宋体" w:hAnsi="宋体" w:cs="Arial"/>
                <w:kern w:val="0"/>
                <w:sz w:val="18"/>
                <w:szCs w:val="18"/>
              </w:rPr>
            </w:pPr>
            <w:r>
              <w:rPr>
                <w:rFonts w:ascii="宋体" w:hAnsi="宋体" w:cs="Arial"/>
                <w:kern w:val="0"/>
                <w:sz w:val="18"/>
                <w:szCs w:val="18"/>
              </w:rPr>
              <w:t>厂商提供图形化数据展示工具</w:t>
            </w:r>
          </w:p>
        </w:tc>
      </w:tr>
      <w:tr w14:paraId="0E5D4869">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06D09534">
            <w:pPr>
              <w:widowControl/>
              <w:jc w:val="center"/>
              <w:rPr>
                <w:rFonts w:ascii="宋体" w:hAnsi="宋体" w:cs="Arial"/>
                <w:kern w:val="0"/>
                <w:sz w:val="18"/>
                <w:szCs w:val="18"/>
              </w:rPr>
            </w:pPr>
            <w:r>
              <w:rPr>
                <w:rFonts w:ascii="宋体" w:hAnsi="宋体" w:cs="Arial"/>
                <w:kern w:val="0"/>
                <w:sz w:val="18"/>
                <w:szCs w:val="18"/>
              </w:rPr>
              <w:t xml:space="preserve">68 </w:t>
            </w:r>
          </w:p>
        </w:tc>
        <w:tc>
          <w:tcPr>
            <w:tcW w:w="1100" w:type="dxa"/>
            <w:tcBorders>
              <w:top w:val="nil"/>
              <w:left w:val="nil"/>
              <w:bottom w:val="single" w:color="000000" w:sz="4" w:space="0"/>
              <w:right w:val="single" w:color="000000" w:sz="4" w:space="0"/>
            </w:tcBorders>
            <w:vAlign w:val="center"/>
          </w:tcPr>
          <w:p w14:paraId="0AF89B19">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7E62D230">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30267FE9">
            <w:pPr>
              <w:widowControl/>
              <w:jc w:val="center"/>
              <w:rPr>
                <w:rFonts w:ascii="宋体" w:hAnsi="宋体" w:cs="Arial"/>
                <w:kern w:val="0"/>
                <w:sz w:val="18"/>
                <w:szCs w:val="18"/>
              </w:rPr>
            </w:pPr>
            <w:r>
              <w:rPr>
                <w:rFonts w:ascii="宋体" w:hAnsi="宋体" w:cs="Arial"/>
                <w:kern w:val="0"/>
                <w:sz w:val="18"/>
                <w:szCs w:val="18"/>
              </w:rPr>
              <w:t>图形界面配置参数基础功能</w:t>
            </w:r>
          </w:p>
        </w:tc>
        <w:tc>
          <w:tcPr>
            <w:tcW w:w="8953" w:type="dxa"/>
            <w:tcBorders>
              <w:top w:val="nil"/>
              <w:left w:val="nil"/>
              <w:bottom w:val="single" w:color="000000" w:sz="4" w:space="0"/>
              <w:right w:val="single" w:color="000000" w:sz="4" w:space="0"/>
            </w:tcBorders>
            <w:vAlign w:val="center"/>
          </w:tcPr>
          <w:p w14:paraId="5005ECE1">
            <w:pPr>
              <w:widowControl/>
              <w:jc w:val="left"/>
              <w:rPr>
                <w:rFonts w:ascii="宋体" w:hAnsi="宋体" w:cs="Arial"/>
                <w:kern w:val="0"/>
                <w:sz w:val="18"/>
                <w:szCs w:val="18"/>
              </w:rPr>
            </w:pPr>
            <w:r>
              <w:rPr>
                <w:rFonts w:ascii="宋体" w:hAnsi="宋体" w:cs="Arial"/>
                <w:kern w:val="0"/>
                <w:sz w:val="18"/>
                <w:szCs w:val="18"/>
              </w:rPr>
              <w:t>a）基本配置参数： 1）配置资源使用限额； 2）配置连接数； 3）配置白名单； b）逻辑存储配置： 1）图形界面支持逻辑存储配置； 2）提供图形化界面管理数据库对象逻辑空间分配功能； c）提供图形界面配置参数功能，支持图形界面配置用户口令； d）配置审计： 1）支持图形化界面配置审计策略； 2）支持查看审计数据</w:t>
            </w:r>
          </w:p>
        </w:tc>
      </w:tr>
      <w:tr w14:paraId="73441EE6">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2BAFA15D">
            <w:pPr>
              <w:widowControl/>
              <w:jc w:val="center"/>
              <w:rPr>
                <w:rFonts w:ascii="宋体" w:hAnsi="宋体" w:cs="Arial"/>
                <w:kern w:val="0"/>
                <w:sz w:val="18"/>
                <w:szCs w:val="18"/>
              </w:rPr>
            </w:pPr>
            <w:r>
              <w:rPr>
                <w:rFonts w:ascii="宋体" w:hAnsi="宋体" w:cs="Arial"/>
                <w:kern w:val="0"/>
                <w:sz w:val="18"/>
                <w:szCs w:val="18"/>
              </w:rPr>
              <w:t xml:space="preserve">69 </w:t>
            </w:r>
          </w:p>
        </w:tc>
        <w:tc>
          <w:tcPr>
            <w:tcW w:w="1100" w:type="dxa"/>
            <w:tcBorders>
              <w:top w:val="nil"/>
              <w:left w:val="nil"/>
              <w:bottom w:val="single" w:color="000000" w:sz="4" w:space="0"/>
              <w:right w:val="single" w:color="000000" w:sz="4" w:space="0"/>
            </w:tcBorders>
            <w:vAlign w:val="center"/>
          </w:tcPr>
          <w:p w14:paraId="0BCE2FA0">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0005C181">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77DD2410">
            <w:pPr>
              <w:widowControl/>
              <w:jc w:val="center"/>
              <w:rPr>
                <w:rFonts w:ascii="宋体" w:hAnsi="宋体" w:cs="Arial"/>
                <w:kern w:val="0"/>
                <w:sz w:val="18"/>
                <w:szCs w:val="18"/>
              </w:rPr>
            </w:pPr>
            <w:r>
              <w:rPr>
                <w:rFonts w:ascii="宋体" w:hAnsi="宋体" w:cs="Arial"/>
                <w:kern w:val="0"/>
                <w:sz w:val="18"/>
                <w:szCs w:val="18"/>
              </w:rPr>
              <w:t>图形化管理数据库对象</w:t>
            </w:r>
          </w:p>
        </w:tc>
        <w:tc>
          <w:tcPr>
            <w:tcW w:w="8953" w:type="dxa"/>
            <w:tcBorders>
              <w:top w:val="nil"/>
              <w:left w:val="nil"/>
              <w:bottom w:val="single" w:color="000000" w:sz="4" w:space="0"/>
              <w:right w:val="single" w:color="000000" w:sz="4" w:space="0"/>
            </w:tcBorders>
            <w:vAlign w:val="center"/>
          </w:tcPr>
          <w:p w14:paraId="79BD6E79">
            <w:pPr>
              <w:widowControl/>
              <w:jc w:val="left"/>
              <w:rPr>
                <w:rFonts w:ascii="宋体" w:hAnsi="宋体" w:cs="Arial"/>
                <w:kern w:val="0"/>
                <w:sz w:val="18"/>
                <w:szCs w:val="18"/>
              </w:rPr>
            </w:pPr>
            <w:r>
              <w:rPr>
                <w:rFonts w:ascii="宋体" w:hAnsi="宋体" w:cs="Arial"/>
                <w:kern w:val="0"/>
                <w:sz w:val="18"/>
                <w:szCs w:val="18"/>
              </w:rPr>
              <w:t>支持图形化管理统一的数据库实例、数据库日志文件、数据库运行模式、表对象、表数据存储空间、索引定义类型、视图、触发器、存储过程/函数、角色/用户权限、同义词、序列、外部表、物化视图、作业调度、数据库链接、分区表数据、服务器资源分配、自增列</w:t>
            </w:r>
          </w:p>
        </w:tc>
      </w:tr>
      <w:tr w14:paraId="0EBA5C6E">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17626301">
            <w:pPr>
              <w:widowControl/>
              <w:jc w:val="center"/>
              <w:rPr>
                <w:rFonts w:ascii="宋体" w:hAnsi="宋体" w:cs="Arial"/>
                <w:kern w:val="0"/>
                <w:sz w:val="18"/>
                <w:szCs w:val="18"/>
              </w:rPr>
            </w:pPr>
            <w:r>
              <w:rPr>
                <w:rFonts w:ascii="宋体" w:hAnsi="宋体" w:cs="Arial"/>
                <w:kern w:val="0"/>
                <w:sz w:val="18"/>
                <w:szCs w:val="18"/>
              </w:rPr>
              <w:t xml:space="preserve">70 </w:t>
            </w:r>
          </w:p>
        </w:tc>
        <w:tc>
          <w:tcPr>
            <w:tcW w:w="1100" w:type="dxa"/>
            <w:tcBorders>
              <w:top w:val="nil"/>
              <w:left w:val="nil"/>
              <w:bottom w:val="single" w:color="000000" w:sz="4" w:space="0"/>
              <w:right w:val="single" w:color="000000" w:sz="4" w:space="0"/>
            </w:tcBorders>
            <w:vAlign w:val="center"/>
          </w:tcPr>
          <w:p w14:paraId="347CE42C">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364A386A">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5862F879">
            <w:pPr>
              <w:widowControl/>
              <w:jc w:val="center"/>
              <w:rPr>
                <w:rFonts w:ascii="宋体" w:hAnsi="宋体" w:cs="Arial"/>
                <w:kern w:val="0"/>
                <w:sz w:val="18"/>
                <w:szCs w:val="18"/>
              </w:rPr>
            </w:pPr>
            <w:r>
              <w:rPr>
                <w:rFonts w:ascii="宋体" w:hAnsi="宋体" w:cs="Arial"/>
                <w:kern w:val="0"/>
                <w:sz w:val="18"/>
                <w:szCs w:val="18"/>
              </w:rPr>
              <w:t>图形化监控</w:t>
            </w:r>
          </w:p>
        </w:tc>
        <w:tc>
          <w:tcPr>
            <w:tcW w:w="8953" w:type="dxa"/>
            <w:tcBorders>
              <w:top w:val="nil"/>
              <w:left w:val="nil"/>
              <w:bottom w:val="single" w:color="000000" w:sz="4" w:space="0"/>
              <w:right w:val="single" w:color="000000" w:sz="4" w:space="0"/>
            </w:tcBorders>
            <w:vAlign w:val="center"/>
          </w:tcPr>
          <w:p w14:paraId="67E31C1C">
            <w:pPr>
              <w:widowControl/>
              <w:jc w:val="left"/>
              <w:rPr>
                <w:rFonts w:ascii="宋体" w:hAnsi="宋体" w:cs="Arial"/>
                <w:kern w:val="0"/>
                <w:sz w:val="18"/>
                <w:szCs w:val="18"/>
              </w:rPr>
            </w:pPr>
            <w:r>
              <w:rPr>
                <w:rFonts w:ascii="宋体" w:hAnsi="宋体" w:cs="Arial"/>
                <w:kern w:val="0"/>
                <w:sz w:val="18"/>
                <w:szCs w:val="18"/>
              </w:rPr>
              <w:t>a）支持多实例集成监控与管理；b）支持操作系统和网络资源集成监控与管理</w:t>
            </w:r>
          </w:p>
        </w:tc>
      </w:tr>
      <w:tr w14:paraId="1078BB9C">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1E789DE9">
            <w:pPr>
              <w:widowControl/>
              <w:jc w:val="center"/>
              <w:rPr>
                <w:rFonts w:ascii="宋体" w:hAnsi="宋体" w:cs="Arial"/>
                <w:kern w:val="0"/>
                <w:sz w:val="18"/>
                <w:szCs w:val="18"/>
              </w:rPr>
            </w:pPr>
            <w:r>
              <w:rPr>
                <w:rFonts w:ascii="宋体" w:hAnsi="宋体" w:cs="Arial"/>
                <w:kern w:val="0"/>
                <w:sz w:val="18"/>
                <w:szCs w:val="18"/>
              </w:rPr>
              <w:t xml:space="preserve">71 </w:t>
            </w:r>
          </w:p>
        </w:tc>
        <w:tc>
          <w:tcPr>
            <w:tcW w:w="1100" w:type="dxa"/>
            <w:tcBorders>
              <w:top w:val="nil"/>
              <w:left w:val="nil"/>
              <w:bottom w:val="single" w:color="000000" w:sz="4" w:space="0"/>
              <w:right w:val="single" w:color="000000" w:sz="4" w:space="0"/>
            </w:tcBorders>
            <w:vAlign w:val="center"/>
          </w:tcPr>
          <w:p w14:paraId="144EC518">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2CEBEE34">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721E1B7A">
            <w:pPr>
              <w:widowControl/>
              <w:jc w:val="center"/>
              <w:rPr>
                <w:rFonts w:ascii="宋体" w:hAnsi="宋体" w:cs="Arial"/>
                <w:kern w:val="0"/>
                <w:sz w:val="18"/>
                <w:szCs w:val="18"/>
              </w:rPr>
            </w:pPr>
            <w:r>
              <w:rPr>
                <w:rFonts w:ascii="宋体" w:hAnsi="宋体" w:cs="Arial"/>
                <w:kern w:val="0"/>
                <w:sz w:val="18"/>
                <w:szCs w:val="18"/>
              </w:rPr>
              <w:t>图形化管理归档</w:t>
            </w:r>
          </w:p>
        </w:tc>
        <w:tc>
          <w:tcPr>
            <w:tcW w:w="8953" w:type="dxa"/>
            <w:tcBorders>
              <w:top w:val="nil"/>
              <w:left w:val="nil"/>
              <w:bottom w:val="single" w:color="000000" w:sz="4" w:space="0"/>
              <w:right w:val="single" w:color="000000" w:sz="4" w:space="0"/>
            </w:tcBorders>
            <w:vAlign w:val="center"/>
          </w:tcPr>
          <w:p w14:paraId="08110851">
            <w:pPr>
              <w:widowControl/>
              <w:jc w:val="left"/>
              <w:rPr>
                <w:rFonts w:ascii="宋体" w:hAnsi="宋体" w:cs="Arial"/>
                <w:kern w:val="0"/>
                <w:sz w:val="18"/>
                <w:szCs w:val="18"/>
              </w:rPr>
            </w:pPr>
            <w:r>
              <w:rPr>
                <w:rFonts w:ascii="宋体" w:hAnsi="宋体" w:cs="Arial"/>
                <w:kern w:val="0"/>
                <w:sz w:val="18"/>
                <w:szCs w:val="18"/>
              </w:rPr>
              <w:t>支持对归档模式、归档文件位置、归档启用/停用进行管理</w:t>
            </w:r>
          </w:p>
        </w:tc>
      </w:tr>
      <w:tr w14:paraId="3B9C5284">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02C1FB49">
            <w:pPr>
              <w:widowControl/>
              <w:jc w:val="center"/>
              <w:rPr>
                <w:rFonts w:ascii="宋体" w:hAnsi="宋体" w:cs="Arial"/>
                <w:kern w:val="0"/>
                <w:sz w:val="18"/>
                <w:szCs w:val="18"/>
              </w:rPr>
            </w:pPr>
            <w:r>
              <w:rPr>
                <w:rFonts w:ascii="宋体" w:hAnsi="宋体" w:cs="Arial"/>
                <w:kern w:val="0"/>
                <w:sz w:val="18"/>
                <w:szCs w:val="18"/>
              </w:rPr>
              <w:t xml:space="preserve">72 </w:t>
            </w:r>
          </w:p>
        </w:tc>
        <w:tc>
          <w:tcPr>
            <w:tcW w:w="1100" w:type="dxa"/>
            <w:tcBorders>
              <w:top w:val="nil"/>
              <w:left w:val="nil"/>
              <w:bottom w:val="single" w:color="000000" w:sz="4" w:space="0"/>
              <w:right w:val="single" w:color="000000" w:sz="4" w:space="0"/>
            </w:tcBorders>
            <w:vAlign w:val="center"/>
          </w:tcPr>
          <w:p w14:paraId="66D1C80E">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18F4A532">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7C722D0D">
            <w:pPr>
              <w:widowControl/>
              <w:jc w:val="center"/>
              <w:rPr>
                <w:rFonts w:ascii="宋体" w:hAnsi="宋体" w:cs="Arial"/>
                <w:kern w:val="0"/>
                <w:sz w:val="18"/>
                <w:szCs w:val="18"/>
              </w:rPr>
            </w:pPr>
            <w:r>
              <w:rPr>
                <w:rFonts w:ascii="宋体" w:hAnsi="宋体" w:cs="Arial"/>
                <w:kern w:val="0"/>
                <w:sz w:val="18"/>
                <w:szCs w:val="18"/>
              </w:rPr>
              <w:t>图形化管理数据的备份、还原/恢复</w:t>
            </w:r>
          </w:p>
        </w:tc>
        <w:tc>
          <w:tcPr>
            <w:tcW w:w="8953" w:type="dxa"/>
            <w:tcBorders>
              <w:top w:val="nil"/>
              <w:left w:val="nil"/>
              <w:bottom w:val="single" w:color="000000" w:sz="4" w:space="0"/>
              <w:right w:val="single" w:color="000000" w:sz="4" w:space="0"/>
            </w:tcBorders>
            <w:vAlign w:val="center"/>
          </w:tcPr>
          <w:p w14:paraId="43374D46">
            <w:pPr>
              <w:widowControl/>
              <w:jc w:val="left"/>
              <w:rPr>
                <w:rFonts w:ascii="宋体" w:hAnsi="宋体" w:cs="Arial"/>
                <w:kern w:val="0"/>
                <w:sz w:val="18"/>
                <w:szCs w:val="18"/>
              </w:rPr>
            </w:pPr>
            <w:r>
              <w:rPr>
                <w:rFonts w:ascii="宋体" w:hAnsi="宋体" w:cs="Arial"/>
                <w:kern w:val="0"/>
                <w:sz w:val="18"/>
                <w:szCs w:val="18"/>
              </w:rPr>
              <w:t>提供图形化管理数据的备份、还原/恢复的功能</w:t>
            </w:r>
          </w:p>
        </w:tc>
      </w:tr>
      <w:tr w14:paraId="1EE2C3D3">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771674DB">
            <w:pPr>
              <w:widowControl/>
              <w:jc w:val="center"/>
              <w:rPr>
                <w:rFonts w:ascii="宋体" w:hAnsi="宋体" w:cs="Arial"/>
                <w:kern w:val="0"/>
                <w:sz w:val="18"/>
                <w:szCs w:val="18"/>
              </w:rPr>
            </w:pPr>
            <w:r>
              <w:rPr>
                <w:rFonts w:ascii="宋体" w:hAnsi="宋体" w:cs="Arial"/>
                <w:kern w:val="0"/>
                <w:sz w:val="18"/>
                <w:szCs w:val="18"/>
              </w:rPr>
              <w:t xml:space="preserve">73 </w:t>
            </w:r>
          </w:p>
        </w:tc>
        <w:tc>
          <w:tcPr>
            <w:tcW w:w="1100" w:type="dxa"/>
            <w:tcBorders>
              <w:top w:val="nil"/>
              <w:left w:val="nil"/>
              <w:bottom w:val="single" w:color="000000" w:sz="4" w:space="0"/>
              <w:right w:val="single" w:color="000000" w:sz="4" w:space="0"/>
            </w:tcBorders>
            <w:vAlign w:val="center"/>
          </w:tcPr>
          <w:p w14:paraId="338DECC5">
            <w:pPr>
              <w:widowControl/>
              <w:jc w:val="center"/>
              <w:rPr>
                <w:rFonts w:ascii="宋体" w:hAnsi="宋体" w:cs="Arial"/>
                <w:kern w:val="0"/>
                <w:sz w:val="18"/>
                <w:szCs w:val="18"/>
              </w:rPr>
            </w:pPr>
            <w:r>
              <w:rPr>
                <w:rFonts w:ascii="宋体" w:hAnsi="宋体" w:cs="Arial"/>
                <w:kern w:val="0"/>
                <w:sz w:val="18"/>
                <w:szCs w:val="18"/>
              </w:rPr>
              <w:t>功能要求</w:t>
            </w:r>
          </w:p>
        </w:tc>
        <w:tc>
          <w:tcPr>
            <w:tcW w:w="1100" w:type="dxa"/>
            <w:vMerge w:val="continue"/>
            <w:tcBorders>
              <w:top w:val="nil"/>
              <w:left w:val="single" w:color="000000" w:sz="4" w:space="0"/>
              <w:bottom w:val="single" w:color="000000" w:sz="4" w:space="0"/>
              <w:right w:val="single" w:color="000000" w:sz="4" w:space="0"/>
            </w:tcBorders>
            <w:vAlign w:val="center"/>
          </w:tcPr>
          <w:p w14:paraId="66C11B1B">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1939B6F9">
            <w:pPr>
              <w:widowControl/>
              <w:jc w:val="center"/>
              <w:rPr>
                <w:rFonts w:ascii="宋体" w:hAnsi="宋体" w:cs="Arial"/>
                <w:kern w:val="0"/>
                <w:sz w:val="18"/>
                <w:szCs w:val="18"/>
              </w:rPr>
            </w:pPr>
            <w:r>
              <w:rPr>
                <w:rFonts w:ascii="宋体" w:hAnsi="宋体" w:cs="Arial"/>
                <w:kern w:val="0"/>
                <w:sz w:val="18"/>
                <w:szCs w:val="18"/>
              </w:rPr>
              <w:t>图形化界面易用性</w:t>
            </w:r>
          </w:p>
        </w:tc>
        <w:tc>
          <w:tcPr>
            <w:tcW w:w="8953" w:type="dxa"/>
            <w:tcBorders>
              <w:top w:val="nil"/>
              <w:left w:val="nil"/>
              <w:bottom w:val="single" w:color="000000" w:sz="4" w:space="0"/>
              <w:right w:val="single" w:color="000000" w:sz="4" w:space="0"/>
            </w:tcBorders>
            <w:vAlign w:val="center"/>
          </w:tcPr>
          <w:p w14:paraId="562D31F7">
            <w:pPr>
              <w:widowControl/>
              <w:jc w:val="left"/>
              <w:rPr>
                <w:rFonts w:ascii="宋体" w:hAnsi="宋体" w:cs="Arial"/>
                <w:kern w:val="0"/>
                <w:sz w:val="18"/>
                <w:szCs w:val="18"/>
              </w:rPr>
            </w:pPr>
            <w:r>
              <w:rPr>
                <w:rFonts w:ascii="宋体" w:hAnsi="宋体" w:cs="Arial"/>
                <w:kern w:val="0"/>
                <w:sz w:val="18"/>
                <w:szCs w:val="18"/>
              </w:rPr>
              <w:t xml:space="preserve"> a) 支持浏览器图形界面管理； b) 图形化管理工具界面窗口、选单、图标、文字、快捷键统一并易于理解</w:t>
            </w:r>
          </w:p>
        </w:tc>
      </w:tr>
      <w:tr w14:paraId="5D4FE4F6">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7C7F2920">
            <w:pPr>
              <w:widowControl/>
              <w:jc w:val="center"/>
              <w:rPr>
                <w:rFonts w:ascii="宋体" w:hAnsi="宋体" w:cs="Arial"/>
                <w:kern w:val="0"/>
                <w:sz w:val="18"/>
                <w:szCs w:val="18"/>
              </w:rPr>
            </w:pPr>
            <w:r>
              <w:rPr>
                <w:rFonts w:ascii="宋体" w:hAnsi="宋体" w:cs="Arial"/>
                <w:kern w:val="0"/>
                <w:sz w:val="18"/>
                <w:szCs w:val="18"/>
              </w:rPr>
              <w:t xml:space="preserve">74 </w:t>
            </w:r>
          </w:p>
        </w:tc>
        <w:tc>
          <w:tcPr>
            <w:tcW w:w="1100" w:type="dxa"/>
            <w:tcBorders>
              <w:top w:val="nil"/>
              <w:left w:val="nil"/>
              <w:bottom w:val="single" w:color="000000" w:sz="4" w:space="0"/>
              <w:right w:val="single" w:color="000000" w:sz="4" w:space="0"/>
            </w:tcBorders>
            <w:vAlign w:val="center"/>
          </w:tcPr>
          <w:p w14:paraId="3559A8A9">
            <w:pPr>
              <w:widowControl/>
              <w:jc w:val="center"/>
              <w:rPr>
                <w:rFonts w:ascii="宋体" w:hAnsi="宋体" w:cs="Arial"/>
                <w:kern w:val="0"/>
                <w:sz w:val="18"/>
                <w:szCs w:val="18"/>
              </w:rPr>
            </w:pPr>
            <w:r>
              <w:rPr>
                <w:rFonts w:ascii="宋体" w:hAnsi="宋体" w:cs="Arial"/>
                <w:kern w:val="0"/>
                <w:sz w:val="18"/>
                <w:szCs w:val="18"/>
              </w:rPr>
              <w:t>可靠性要求</w:t>
            </w:r>
          </w:p>
        </w:tc>
        <w:tc>
          <w:tcPr>
            <w:tcW w:w="1100" w:type="dxa"/>
            <w:tcBorders>
              <w:top w:val="nil"/>
              <w:left w:val="nil"/>
              <w:bottom w:val="single" w:color="000000" w:sz="4" w:space="0"/>
              <w:right w:val="single" w:color="000000" w:sz="4" w:space="0"/>
            </w:tcBorders>
            <w:vAlign w:val="center"/>
          </w:tcPr>
          <w:p w14:paraId="4BA834EF">
            <w:pPr>
              <w:widowControl/>
              <w:jc w:val="center"/>
              <w:rPr>
                <w:rFonts w:ascii="宋体" w:hAnsi="宋体" w:cs="Arial"/>
                <w:kern w:val="0"/>
                <w:sz w:val="18"/>
                <w:szCs w:val="18"/>
              </w:rPr>
            </w:pPr>
            <w:r>
              <w:rPr>
                <w:rFonts w:ascii="宋体" w:hAnsi="宋体" w:cs="Arial"/>
                <w:kern w:val="0"/>
                <w:sz w:val="18"/>
                <w:szCs w:val="18"/>
              </w:rPr>
              <w:t>稳定运行</w:t>
            </w:r>
          </w:p>
        </w:tc>
        <w:tc>
          <w:tcPr>
            <w:tcW w:w="1100" w:type="dxa"/>
            <w:tcBorders>
              <w:top w:val="nil"/>
              <w:left w:val="nil"/>
              <w:bottom w:val="single" w:color="000000" w:sz="4" w:space="0"/>
              <w:right w:val="single" w:color="000000" w:sz="4" w:space="0"/>
            </w:tcBorders>
            <w:vAlign w:val="center"/>
          </w:tcPr>
          <w:p w14:paraId="0F0390FD">
            <w:pPr>
              <w:widowControl/>
              <w:jc w:val="center"/>
              <w:rPr>
                <w:rFonts w:ascii="宋体" w:hAnsi="宋体" w:cs="Arial"/>
                <w:kern w:val="0"/>
                <w:sz w:val="18"/>
                <w:szCs w:val="18"/>
              </w:rPr>
            </w:pPr>
            <w:r>
              <w:rPr>
                <w:rFonts w:ascii="宋体" w:hAnsi="宋体" w:cs="Arial"/>
                <w:kern w:val="0"/>
                <w:sz w:val="18"/>
                <w:szCs w:val="18"/>
              </w:rPr>
              <w:t>★稳定运行</w:t>
            </w:r>
          </w:p>
        </w:tc>
        <w:tc>
          <w:tcPr>
            <w:tcW w:w="8953" w:type="dxa"/>
            <w:tcBorders>
              <w:top w:val="nil"/>
              <w:left w:val="nil"/>
              <w:bottom w:val="single" w:color="000000" w:sz="4" w:space="0"/>
              <w:right w:val="single" w:color="000000" w:sz="4" w:space="0"/>
            </w:tcBorders>
            <w:vAlign w:val="center"/>
          </w:tcPr>
          <w:p w14:paraId="16DDFD6C">
            <w:pPr>
              <w:widowControl/>
              <w:jc w:val="left"/>
              <w:rPr>
                <w:rFonts w:ascii="宋体" w:hAnsi="宋体" w:cs="Arial"/>
                <w:kern w:val="0"/>
                <w:sz w:val="18"/>
                <w:szCs w:val="18"/>
              </w:rPr>
            </w:pPr>
            <w:r>
              <w:rPr>
                <w:rFonts w:ascii="宋体" w:hAnsi="宋体" w:cs="Arial"/>
                <w:kern w:val="0"/>
                <w:sz w:val="18"/>
                <w:szCs w:val="18"/>
              </w:rPr>
              <w:t xml:space="preserve"> a) 支持连续稳定运行； b) 支持数据库管理系统运行风险的报警能力</w:t>
            </w:r>
          </w:p>
        </w:tc>
      </w:tr>
      <w:tr w14:paraId="0200C113">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5D0F8B34">
            <w:pPr>
              <w:widowControl/>
              <w:jc w:val="center"/>
              <w:rPr>
                <w:rFonts w:ascii="宋体" w:hAnsi="宋体" w:cs="Arial"/>
                <w:kern w:val="0"/>
                <w:sz w:val="18"/>
                <w:szCs w:val="18"/>
              </w:rPr>
            </w:pPr>
            <w:r>
              <w:rPr>
                <w:rFonts w:ascii="宋体" w:hAnsi="宋体" w:cs="Arial"/>
                <w:kern w:val="0"/>
                <w:sz w:val="18"/>
                <w:szCs w:val="18"/>
              </w:rPr>
              <w:t xml:space="preserve">75 </w:t>
            </w:r>
          </w:p>
        </w:tc>
        <w:tc>
          <w:tcPr>
            <w:tcW w:w="1100" w:type="dxa"/>
            <w:tcBorders>
              <w:top w:val="nil"/>
              <w:left w:val="nil"/>
              <w:bottom w:val="single" w:color="000000" w:sz="4" w:space="0"/>
              <w:right w:val="single" w:color="000000" w:sz="4" w:space="0"/>
            </w:tcBorders>
            <w:vAlign w:val="center"/>
          </w:tcPr>
          <w:p w14:paraId="385C41ED">
            <w:pPr>
              <w:widowControl/>
              <w:jc w:val="center"/>
              <w:rPr>
                <w:rFonts w:ascii="宋体" w:hAnsi="宋体" w:cs="Arial"/>
                <w:kern w:val="0"/>
                <w:sz w:val="18"/>
                <w:szCs w:val="18"/>
              </w:rPr>
            </w:pPr>
            <w:r>
              <w:rPr>
                <w:rFonts w:ascii="宋体" w:hAnsi="宋体" w:cs="Arial"/>
                <w:kern w:val="0"/>
                <w:sz w:val="18"/>
                <w:szCs w:val="18"/>
              </w:rPr>
              <w:t>可靠性要求</w:t>
            </w:r>
          </w:p>
        </w:tc>
        <w:tc>
          <w:tcPr>
            <w:tcW w:w="1100" w:type="dxa"/>
            <w:vMerge w:val="restart"/>
            <w:tcBorders>
              <w:top w:val="nil"/>
              <w:left w:val="single" w:color="000000" w:sz="4" w:space="0"/>
              <w:bottom w:val="single" w:color="000000" w:sz="4" w:space="0"/>
              <w:right w:val="single" w:color="000000" w:sz="4" w:space="0"/>
            </w:tcBorders>
            <w:vAlign w:val="center"/>
          </w:tcPr>
          <w:p w14:paraId="4659FA7D">
            <w:pPr>
              <w:widowControl/>
              <w:jc w:val="center"/>
              <w:rPr>
                <w:rFonts w:ascii="宋体" w:hAnsi="宋体" w:cs="Arial"/>
                <w:kern w:val="0"/>
                <w:sz w:val="18"/>
                <w:szCs w:val="18"/>
              </w:rPr>
            </w:pPr>
            <w:r>
              <w:rPr>
                <w:rFonts w:ascii="宋体" w:hAnsi="宋体" w:cs="Arial"/>
                <w:kern w:val="0"/>
                <w:sz w:val="18"/>
                <w:szCs w:val="18"/>
              </w:rPr>
              <w:t>故障切换</w:t>
            </w:r>
          </w:p>
        </w:tc>
        <w:tc>
          <w:tcPr>
            <w:tcW w:w="1100" w:type="dxa"/>
            <w:tcBorders>
              <w:top w:val="nil"/>
              <w:left w:val="nil"/>
              <w:bottom w:val="single" w:color="000000" w:sz="4" w:space="0"/>
              <w:right w:val="single" w:color="000000" w:sz="4" w:space="0"/>
            </w:tcBorders>
            <w:vAlign w:val="center"/>
          </w:tcPr>
          <w:p w14:paraId="04EB5BA4">
            <w:pPr>
              <w:widowControl/>
              <w:jc w:val="center"/>
              <w:rPr>
                <w:rFonts w:ascii="宋体" w:hAnsi="宋体" w:cs="Arial"/>
                <w:kern w:val="0"/>
                <w:sz w:val="18"/>
                <w:szCs w:val="18"/>
              </w:rPr>
            </w:pPr>
            <w:r>
              <w:rPr>
                <w:rFonts w:ascii="宋体" w:hAnsi="宋体" w:cs="Arial"/>
                <w:kern w:val="0"/>
                <w:sz w:val="18"/>
                <w:szCs w:val="18"/>
              </w:rPr>
              <w:t>★快速切换</w:t>
            </w:r>
          </w:p>
        </w:tc>
        <w:tc>
          <w:tcPr>
            <w:tcW w:w="8953" w:type="dxa"/>
            <w:tcBorders>
              <w:top w:val="nil"/>
              <w:left w:val="nil"/>
              <w:bottom w:val="single" w:color="000000" w:sz="4" w:space="0"/>
              <w:right w:val="single" w:color="000000" w:sz="4" w:space="0"/>
            </w:tcBorders>
            <w:vAlign w:val="center"/>
          </w:tcPr>
          <w:p w14:paraId="542747F7">
            <w:pPr>
              <w:widowControl/>
              <w:jc w:val="left"/>
              <w:rPr>
                <w:rFonts w:ascii="宋体" w:hAnsi="宋体" w:cs="Arial"/>
                <w:kern w:val="0"/>
                <w:sz w:val="18"/>
                <w:szCs w:val="18"/>
              </w:rPr>
            </w:pPr>
            <w:r>
              <w:rPr>
                <w:rFonts w:ascii="宋体" w:hAnsi="宋体" w:cs="Arial"/>
                <w:kern w:val="0"/>
                <w:sz w:val="18"/>
                <w:szCs w:val="18"/>
              </w:rPr>
              <w:t>支持快速切换，在主数据库出现故障时，能够快速切换到备用数据库，保障业务正常运行</w:t>
            </w:r>
          </w:p>
        </w:tc>
      </w:tr>
      <w:tr w14:paraId="02060F78">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71FBB06B">
            <w:pPr>
              <w:widowControl/>
              <w:jc w:val="center"/>
              <w:rPr>
                <w:rFonts w:ascii="宋体" w:hAnsi="宋体" w:cs="Arial"/>
                <w:kern w:val="0"/>
                <w:sz w:val="18"/>
                <w:szCs w:val="18"/>
              </w:rPr>
            </w:pPr>
            <w:r>
              <w:rPr>
                <w:rFonts w:ascii="宋体" w:hAnsi="宋体" w:cs="Arial"/>
                <w:kern w:val="0"/>
                <w:sz w:val="18"/>
                <w:szCs w:val="18"/>
              </w:rPr>
              <w:t xml:space="preserve">76 </w:t>
            </w:r>
          </w:p>
        </w:tc>
        <w:tc>
          <w:tcPr>
            <w:tcW w:w="1100" w:type="dxa"/>
            <w:tcBorders>
              <w:top w:val="nil"/>
              <w:left w:val="nil"/>
              <w:bottom w:val="single" w:color="000000" w:sz="4" w:space="0"/>
              <w:right w:val="single" w:color="000000" w:sz="4" w:space="0"/>
            </w:tcBorders>
            <w:vAlign w:val="center"/>
          </w:tcPr>
          <w:p w14:paraId="5FABF3C1">
            <w:pPr>
              <w:widowControl/>
              <w:jc w:val="center"/>
              <w:rPr>
                <w:rFonts w:ascii="宋体" w:hAnsi="宋体" w:cs="Arial"/>
                <w:kern w:val="0"/>
                <w:sz w:val="18"/>
                <w:szCs w:val="18"/>
              </w:rPr>
            </w:pPr>
            <w:r>
              <w:rPr>
                <w:rFonts w:ascii="宋体" w:hAnsi="宋体" w:cs="Arial"/>
                <w:kern w:val="0"/>
                <w:sz w:val="18"/>
                <w:szCs w:val="18"/>
              </w:rPr>
              <w:t>可靠性要求</w:t>
            </w:r>
          </w:p>
        </w:tc>
        <w:tc>
          <w:tcPr>
            <w:tcW w:w="1100" w:type="dxa"/>
            <w:vMerge w:val="continue"/>
            <w:tcBorders>
              <w:top w:val="nil"/>
              <w:left w:val="single" w:color="000000" w:sz="4" w:space="0"/>
              <w:bottom w:val="single" w:color="000000" w:sz="4" w:space="0"/>
              <w:right w:val="single" w:color="000000" w:sz="4" w:space="0"/>
            </w:tcBorders>
            <w:vAlign w:val="center"/>
          </w:tcPr>
          <w:p w14:paraId="62B31FD5">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0CD91DBA">
            <w:pPr>
              <w:widowControl/>
              <w:jc w:val="center"/>
              <w:rPr>
                <w:rFonts w:ascii="宋体" w:hAnsi="宋体" w:cs="Arial"/>
                <w:kern w:val="0"/>
                <w:sz w:val="18"/>
                <w:szCs w:val="18"/>
              </w:rPr>
            </w:pPr>
            <w:r>
              <w:rPr>
                <w:rFonts w:ascii="宋体" w:hAnsi="宋体" w:cs="Arial"/>
                <w:kern w:val="0"/>
                <w:sz w:val="18"/>
                <w:szCs w:val="18"/>
              </w:rPr>
              <w:t>★恢复无断点</w:t>
            </w:r>
          </w:p>
        </w:tc>
        <w:tc>
          <w:tcPr>
            <w:tcW w:w="8953" w:type="dxa"/>
            <w:tcBorders>
              <w:top w:val="nil"/>
              <w:left w:val="nil"/>
              <w:bottom w:val="single" w:color="000000" w:sz="4" w:space="0"/>
              <w:right w:val="single" w:color="000000" w:sz="4" w:space="0"/>
            </w:tcBorders>
            <w:vAlign w:val="center"/>
          </w:tcPr>
          <w:p w14:paraId="005618E7">
            <w:pPr>
              <w:widowControl/>
              <w:jc w:val="left"/>
              <w:rPr>
                <w:rFonts w:ascii="宋体" w:hAnsi="宋体" w:cs="Arial"/>
                <w:kern w:val="0"/>
                <w:sz w:val="18"/>
                <w:szCs w:val="18"/>
              </w:rPr>
            </w:pPr>
            <w:r>
              <w:rPr>
                <w:rFonts w:ascii="宋体" w:hAnsi="宋体" w:cs="Arial"/>
                <w:kern w:val="0"/>
                <w:sz w:val="18"/>
                <w:szCs w:val="18"/>
              </w:rPr>
              <w:t>支持无断点恢复能力</w:t>
            </w:r>
          </w:p>
        </w:tc>
      </w:tr>
      <w:tr w14:paraId="47226F38">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3D8C0EE4">
            <w:pPr>
              <w:widowControl/>
              <w:jc w:val="center"/>
              <w:rPr>
                <w:rFonts w:ascii="宋体" w:hAnsi="宋体" w:cs="Arial"/>
                <w:kern w:val="0"/>
                <w:sz w:val="18"/>
                <w:szCs w:val="18"/>
              </w:rPr>
            </w:pPr>
            <w:r>
              <w:rPr>
                <w:rFonts w:ascii="宋体" w:hAnsi="宋体" w:cs="Arial"/>
                <w:kern w:val="0"/>
                <w:sz w:val="18"/>
                <w:szCs w:val="18"/>
              </w:rPr>
              <w:t xml:space="preserve">77 </w:t>
            </w:r>
          </w:p>
        </w:tc>
        <w:tc>
          <w:tcPr>
            <w:tcW w:w="1100" w:type="dxa"/>
            <w:tcBorders>
              <w:top w:val="nil"/>
              <w:left w:val="nil"/>
              <w:bottom w:val="single" w:color="000000" w:sz="4" w:space="0"/>
              <w:right w:val="single" w:color="000000" w:sz="4" w:space="0"/>
            </w:tcBorders>
            <w:vAlign w:val="center"/>
          </w:tcPr>
          <w:p w14:paraId="41240DB1">
            <w:pPr>
              <w:widowControl/>
              <w:jc w:val="center"/>
              <w:rPr>
                <w:rFonts w:ascii="宋体" w:hAnsi="宋体" w:cs="Arial"/>
                <w:kern w:val="0"/>
                <w:sz w:val="18"/>
                <w:szCs w:val="18"/>
              </w:rPr>
            </w:pPr>
            <w:r>
              <w:rPr>
                <w:rFonts w:ascii="宋体" w:hAnsi="宋体" w:cs="Arial"/>
                <w:kern w:val="0"/>
                <w:sz w:val="18"/>
                <w:szCs w:val="18"/>
              </w:rPr>
              <w:t>可靠性要求</w:t>
            </w:r>
          </w:p>
        </w:tc>
        <w:tc>
          <w:tcPr>
            <w:tcW w:w="1100" w:type="dxa"/>
            <w:vMerge w:val="restart"/>
            <w:tcBorders>
              <w:top w:val="nil"/>
              <w:left w:val="single" w:color="000000" w:sz="4" w:space="0"/>
              <w:bottom w:val="single" w:color="000000" w:sz="4" w:space="0"/>
              <w:right w:val="single" w:color="000000" w:sz="4" w:space="0"/>
            </w:tcBorders>
            <w:vAlign w:val="center"/>
          </w:tcPr>
          <w:p w14:paraId="1F2E2727">
            <w:pPr>
              <w:widowControl/>
              <w:jc w:val="center"/>
              <w:rPr>
                <w:rFonts w:ascii="宋体" w:hAnsi="宋体" w:cs="Arial"/>
                <w:kern w:val="0"/>
                <w:sz w:val="18"/>
                <w:szCs w:val="18"/>
              </w:rPr>
            </w:pPr>
            <w:r>
              <w:rPr>
                <w:rFonts w:ascii="宋体" w:hAnsi="宋体" w:cs="Arial"/>
                <w:kern w:val="0"/>
                <w:sz w:val="18"/>
                <w:szCs w:val="18"/>
              </w:rPr>
              <w:t>容灾能力</w:t>
            </w:r>
          </w:p>
        </w:tc>
        <w:tc>
          <w:tcPr>
            <w:tcW w:w="1100" w:type="dxa"/>
            <w:tcBorders>
              <w:top w:val="nil"/>
              <w:left w:val="nil"/>
              <w:bottom w:val="single" w:color="000000" w:sz="4" w:space="0"/>
              <w:right w:val="single" w:color="000000" w:sz="4" w:space="0"/>
            </w:tcBorders>
            <w:vAlign w:val="center"/>
          </w:tcPr>
          <w:p w14:paraId="48A0D391">
            <w:pPr>
              <w:widowControl/>
              <w:jc w:val="center"/>
              <w:rPr>
                <w:rFonts w:ascii="宋体" w:hAnsi="宋体" w:cs="Arial"/>
                <w:kern w:val="0"/>
                <w:sz w:val="18"/>
                <w:szCs w:val="18"/>
              </w:rPr>
            </w:pPr>
            <w:r>
              <w:rPr>
                <w:rFonts w:ascii="宋体" w:hAnsi="宋体" w:cs="Arial"/>
                <w:kern w:val="0"/>
                <w:sz w:val="18"/>
                <w:szCs w:val="18"/>
              </w:rPr>
              <w:t>★主备备份</w:t>
            </w:r>
          </w:p>
        </w:tc>
        <w:tc>
          <w:tcPr>
            <w:tcW w:w="8953" w:type="dxa"/>
            <w:tcBorders>
              <w:top w:val="nil"/>
              <w:left w:val="nil"/>
              <w:bottom w:val="single" w:color="000000" w:sz="4" w:space="0"/>
              <w:right w:val="single" w:color="000000" w:sz="4" w:space="0"/>
            </w:tcBorders>
            <w:vAlign w:val="center"/>
          </w:tcPr>
          <w:p w14:paraId="5CE137B1">
            <w:pPr>
              <w:widowControl/>
              <w:jc w:val="left"/>
              <w:rPr>
                <w:rFonts w:ascii="宋体" w:hAnsi="宋体" w:cs="Arial"/>
                <w:kern w:val="0"/>
                <w:sz w:val="18"/>
                <w:szCs w:val="18"/>
              </w:rPr>
            </w:pPr>
            <w:r>
              <w:rPr>
                <w:rFonts w:ascii="宋体" w:hAnsi="宋体" w:cs="Arial"/>
                <w:kern w:val="0"/>
                <w:sz w:val="18"/>
                <w:szCs w:val="18"/>
              </w:rPr>
              <w:t>a)支持多副本，支持主副本与从副本之间的数据同步，最低时延由生产厂商提供；b)提供基于主机的数据库复制技术，包括基于日志的备用数据库远程数据库备份技术，并具备数据副本间的复制能力</w:t>
            </w:r>
          </w:p>
        </w:tc>
      </w:tr>
      <w:tr w14:paraId="6BA85827">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0F11A318">
            <w:pPr>
              <w:widowControl/>
              <w:jc w:val="center"/>
              <w:rPr>
                <w:rFonts w:ascii="宋体" w:hAnsi="宋体" w:cs="Arial"/>
                <w:kern w:val="0"/>
                <w:sz w:val="18"/>
                <w:szCs w:val="18"/>
              </w:rPr>
            </w:pPr>
            <w:r>
              <w:rPr>
                <w:rFonts w:ascii="宋体" w:hAnsi="宋体" w:cs="Arial"/>
                <w:kern w:val="0"/>
                <w:sz w:val="18"/>
                <w:szCs w:val="18"/>
              </w:rPr>
              <w:t xml:space="preserve">78 </w:t>
            </w:r>
          </w:p>
        </w:tc>
        <w:tc>
          <w:tcPr>
            <w:tcW w:w="1100" w:type="dxa"/>
            <w:tcBorders>
              <w:top w:val="nil"/>
              <w:left w:val="nil"/>
              <w:bottom w:val="single" w:color="000000" w:sz="4" w:space="0"/>
              <w:right w:val="single" w:color="000000" w:sz="4" w:space="0"/>
            </w:tcBorders>
            <w:vAlign w:val="center"/>
          </w:tcPr>
          <w:p w14:paraId="32AA8AD7">
            <w:pPr>
              <w:widowControl/>
              <w:jc w:val="center"/>
              <w:rPr>
                <w:rFonts w:ascii="宋体" w:hAnsi="宋体" w:cs="Arial"/>
                <w:kern w:val="0"/>
                <w:sz w:val="18"/>
                <w:szCs w:val="18"/>
              </w:rPr>
            </w:pPr>
            <w:r>
              <w:rPr>
                <w:rFonts w:ascii="宋体" w:hAnsi="宋体" w:cs="Arial"/>
                <w:kern w:val="0"/>
                <w:sz w:val="18"/>
                <w:szCs w:val="18"/>
              </w:rPr>
              <w:t>可靠性要求</w:t>
            </w:r>
          </w:p>
        </w:tc>
        <w:tc>
          <w:tcPr>
            <w:tcW w:w="1100" w:type="dxa"/>
            <w:vMerge w:val="continue"/>
            <w:tcBorders>
              <w:top w:val="nil"/>
              <w:left w:val="single" w:color="000000" w:sz="4" w:space="0"/>
              <w:bottom w:val="single" w:color="000000" w:sz="4" w:space="0"/>
              <w:right w:val="single" w:color="000000" w:sz="4" w:space="0"/>
            </w:tcBorders>
            <w:vAlign w:val="center"/>
          </w:tcPr>
          <w:p w14:paraId="539D19A5">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4CEDA9FB">
            <w:pPr>
              <w:widowControl/>
              <w:jc w:val="center"/>
              <w:rPr>
                <w:rFonts w:ascii="宋体" w:hAnsi="宋体" w:cs="Arial"/>
                <w:kern w:val="0"/>
                <w:sz w:val="18"/>
                <w:szCs w:val="18"/>
              </w:rPr>
            </w:pPr>
            <w:r>
              <w:rPr>
                <w:rFonts w:ascii="宋体" w:hAnsi="宋体" w:cs="Arial"/>
                <w:kern w:val="0"/>
                <w:sz w:val="18"/>
                <w:szCs w:val="18"/>
              </w:rPr>
              <w:t>★实例容灾</w:t>
            </w:r>
          </w:p>
        </w:tc>
        <w:tc>
          <w:tcPr>
            <w:tcW w:w="8953" w:type="dxa"/>
            <w:tcBorders>
              <w:top w:val="nil"/>
              <w:left w:val="nil"/>
              <w:bottom w:val="single" w:color="000000" w:sz="4" w:space="0"/>
              <w:right w:val="single" w:color="000000" w:sz="4" w:space="0"/>
            </w:tcBorders>
            <w:vAlign w:val="center"/>
          </w:tcPr>
          <w:p w14:paraId="549ED042">
            <w:pPr>
              <w:widowControl/>
              <w:jc w:val="left"/>
              <w:rPr>
                <w:rFonts w:ascii="宋体" w:hAnsi="宋体" w:cs="Arial"/>
                <w:kern w:val="0"/>
                <w:sz w:val="18"/>
                <w:szCs w:val="18"/>
              </w:rPr>
            </w:pPr>
            <w:r>
              <w:rPr>
                <w:rFonts w:ascii="宋体" w:hAnsi="宋体" w:cs="Arial"/>
                <w:kern w:val="0"/>
                <w:sz w:val="18"/>
                <w:szCs w:val="18"/>
              </w:rPr>
              <w:t xml:space="preserve"> a)在任意数据库实例出现故障时，集群内服务正常运行，数据不丢失，集群整体业务可用；b)在实例故障、节点故障等单数据库实例故障时，RPO时间等于0，RTO时间小于30s</w:t>
            </w:r>
          </w:p>
        </w:tc>
      </w:tr>
      <w:tr w14:paraId="414106F9">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344ACAC0">
            <w:pPr>
              <w:widowControl/>
              <w:jc w:val="center"/>
              <w:rPr>
                <w:rFonts w:ascii="宋体" w:hAnsi="宋体" w:cs="Arial"/>
                <w:kern w:val="0"/>
                <w:sz w:val="18"/>
                <w:szCs w:val="18"/>
              </w:rPr>
            </w:pPr>
            <w:r>
              <w:rPr>
                <w:rFonts w:ascii="宋体" w:hAnsi="宋体" w:cs="Arial"/>
                <w:kern w:val="0"/>
                <w:sz w:val="18"/>
                <w:szCs w:val="18"/>
              </w:rPr>
              <w:t xml:space="preserve">79 </w:t>
            </w:r>
          </w:p>
        </w:tc>
        <w:tc>
          <w:tcPr>
            <w:tcW w:w="1100" w:type="dxa"/>
            <w:tcBorders>
              <w:top w:val="nil"/>
              <w:left w:val="nil"/>
              <w:bottom w:val="single" w:color="000000" w:sz="4" w:space="0"/>
              <w:right w:val="single" w:color="000000" w:sz="4" w:space="0"/>
            </w:tcBorders>
            <w:vAlign w:val="center"/>
          </w:tcPr>
          <w:p w14:paraId="345107E2">
            <w:pPr>
              <w:widowControl/>
              <w:jc w:val="center"/>
              <w:rPr>
                <w:rFonts w:ascii="宋体" w:hAnsi="宋体" w:cs="Arial"/>
                <w:kern w:val="0"/>
                <w:sz w:val="18"/>
                <w:szCs w:val="18"/>
              </w:rPr>
            </w:pPr>
            <w:r>
              <w:rPr>
                <w:rFonts w:ascii="宋体" w:hAnsi="宋体" w:cs="Arial"/>
                <w:kern w:val="0"/>
                <w:sz w:val="18"/>
                <w:szCs w:val="18"/>
              </w:rPr>
              <w:t>可靠性要求</w:t>
            </w:r>
          </w:p>
        </w:tc>
        <w:tc>
          <w:tcPr>
            <w:tcW w:w="1100" w:type="dxa"/>
            <w:vMerge w:val="continue"/>
            <w:tcBorders>
              <w:top w:val="nil"/>
              <w:left w:val="single" w:color="000000" w:sz="4" w:space="0"/>
              <w:bottom w:val="single" w:color="000000" w:sz="4" w:space="0"/>
              <w:right w:val="single" w:color="000000" w:sz="4" w:space="0"/>
            </w:tcBorders>
            <w:vAlign w:val="center"/>
          </w:tcPr>
          <w:p w14:paraId="23A844AA">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095F0640">
            <w:pPr>
              <w:widowControl/>
              <w:jc w:val="center"/>
              <w:rPr>
                <w:rFonts w:ascii="宋体" w:hAnsi="宋体" w:cs="Arial"/>
                <w:kern w:val="0"/>
                <w:sz w:val="18"/>
                <w:szCs w:val="18"/>
              </w:rPr>
            </w:pPr>
            <w:r>
              <w:rPr>
                <w:rFonts w:ascii="宋体" w:hAnsi="宋体" w:cs="Arial"/>
                <w:kern w:val="0"/>
                <w:sz w:val="18"/>
                <w:szCs w:val="18"/>
              </w:rPr>
              <w:t>★容灾部署</w:t>
            </w:r>
          </w:p>
        </w:tc>
        <w:tc>
          <w:tcPr>
            <w:tcW w:w="8953" w:type="dxa"/>
            <w:tcBorders>
              <w:top w:val="nil"/>
              <w:left w:val="nil"/>
              <w:bottom w:val="single" w:color="000000" w:sz="4" w:space="0"/>
              <w:right w:val="single" w:color="000000" w:sz="4" w:space="0"/>
            </w:tcBorders>
            <w:vAlign w:val="center"/>
          </w:tcPr>
          <w:p w14:paraId="1D7F8C96">
            <w:pPr>
              <w:widowControl/>
              <w:jc w:val="left"/>
              <w:rPr>
                <w:rFonts w:ascii="宋体" w:hAnsi="宋体" w:cs="Arial"/>
                <w:kern w:val="0"/>
                <w:sz w:val="18"/>
                <w:szCs w:val="18"/>
              </w:rPr>
            </w:pPr>
            <w:r>
              <w:rPr>
                <w:rFonts w:ascii="宋体" w:hAnsi="宋体" w:cs="Arial"/>
                <w:kern w:val="0"/>
                <w:sz w:val="18"/>
                <w:szCs w:val="18"/>
              </w:rPr>
              <w:t>a)提供远程容灾部署与管理功能；b)提供生产中心与备份中心之间的容灾部署与管理功能</w:t>
            </w:r>
          </w:p>
        </w:tc>
      </w:tr>
      <w:tr w14:paraId="792CCB7D">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76B545F0">
            <w:pPr>
              <w:widowControl/>
              <w:jc w:val="center"/>
              <w:rPr>
                <w:rFonts w:ascii="宋体" w:hAnsi="宋体" w:cs="Arial"/>
                <w:kern w:val="0"/>
                <w:sz w:val="18"/>
                <w:szCs w:val="18"/>
              </w:rPr>
            </w:pPr>
            <w:r>
              <w:rPr>
                <w:rFonts w:ascii="宋体" w:hAnsi="宋体" w:cs="Arial"/>
                <w:kern w:val="0"/>
                <w:sz w:val="18"/>
                <w:szCs w:val="18"/>
              </w:rPr>
              <w:t xml:space="preserve">80 </w:t>
            </w:r>
          </w:p>
        </w:tc>
        <w:tc>
          <w:tcPr>
            <w:tcW w:w="1100" w:type="dxa"/>
            <w:tcBorders>
              <w:top w:val="nil"/>
              <w:left w:val="nil"/>
              <w:bottom w:val="single" w:color="000000" w:sz="4" w:space="0"/>
              <w:right w:val="single" w:color="000000" w:sz="4" w:space="0"/>
            </w:tcBorders>
            <w:vAlign w:val="center"/>
          </w:tcPr>
          <w:p w14:paraId="2348ECF8">
            <w:pPr>
              <w:widowControl/>
              <w:jc w:val="center"/>
              <w:rPr>
                <w:rFonts w:ascii="宋体" w:hAnsi="宋体" w:cs="Arial"/>
                <w:kern w:val="0"/>
                <w:sz w:val="18"/>
                <w:szCs w:val="18"/>
              </w:rPr>
            </w:pPr>
            <w:r>
              <w:rPr>
                <w:rFonts w:ascii="宋体" w:hAnsi="宋体" w:cs="Arial"/>
                <w:kern w:val="0"/>
                <w:sz w:val="18"/>
                <w:szCs w:val="18"/>
              </w:rPr>
              <w:t>可靠性要求</w:t>
            </w:r>
          </w:p>
        </w:tc>
        <w:tc>
          <w:tcPr>
            <w:tcW w:w="1100" w:type="dxa"/>
            <w:vMerge w:val="continue"/>
            <w:tcBorders>
              <w:top w:val="nil"/>
              <w:left w:val="single" w:color="000000" w:sz="4" w:space="0"/>
              <w:bottom w:val="single" w:color="000000" w:sz="4" w:space="0"/>
              <w:right w:val="single" w:color="000000" w:sz="4" w:space="0"/>
            </w:tcBorders>
            <w:vAlign w:val="center"/>
          </w:tcPr>
          <w:p w14:paraId="3FB7A569">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03517348">
            <w:pPr>
              <w:widowControl/>
              <w:jc w:val="center"/>
              <w:rPr>
                <w:rFonts w:ascii="宋体" w:hAnsi="宋体" w:cs="Arial"/>
                <w:kern w:val="0"/>
                <w:sz w:val="18"/>
                <w:szCs w:val="18"/>
              </w:rPr>
            </w:pPr>
            <w:r>
              <w:rPr>
                <w:rFonts w:ascii="宋体" w:hAnsi="宋体" w:cs="Arial"/>
                <w:kern w:val="0"/>
                <w:sz w:val="18"/>
                <w:szCs w:val="18"/>
              </w:rPr>
              <w:t>★同城容灾</w:t>
            </w:r>
          </w:p>
        </w:tc>
        <w:tc>
          <w:tcPr>
            <w:tcW w:w="8953" w:type="dxa"/>
            <w:tcBorders>
              <w:top w:val="nil"/>
              <w:left w:val="nil"/>
              <w:bottom w:val="single" w:color="000000" w:sz="4" w:space="0"/>
              <w:right w:val="single" w:color="000000" w:sz="4" w:space="0"/>
            </w:tcBorders>
            <w:vAlign w:val="center"/>
          </w:tcPr>
          <w:p w14:paraId="66C0453B">
            <w:pPr>
              <w:widowControl/>
              <w:jc w:val="left"/>
              <w:rPr>
                <w:rFonts w:ascii="宋体" w:hAnsi="宋体" w:cs="Arial"/>
                <w:kern w:val="0"/>
                <w:sz w:val="18"/>
                <w:szCs w:val="18"/>
              </w:rPr>
            </w:pPr>
            <w:r>
              <w:rPr>
                <w:rFonts w:ascii="宋体" w:hAnsi="宋体" w:cs="Arial"/>
                <w:kern w:val="0"/>
                <w:sz w:val="18"/>
                <w:szCs w:val="18"/>
              </w:rPr>
              <w:t xml:space="preserve"> a)支持同城双中心部署，当主中心故障时，业务切换到备中心；b)由于网络、供电等原因造成的可用区级故障，触发集群计划外停机，在同城多可用区场景下，RPO时间等于0，RTO时间小于1分钟</w:t>
            </w:r>
          </w:p>
        </w:tc>
      </w:tr>
      <w:tr w14:paraId="0B03705C">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46877033">
            <w:pPr>
              <w:widowControl/>
              <w:jc w:val="center"/>
              <w:rPr>
                <w:rFonts w:ascii="宋体" w:hAnsi="宋体" w:cs="Arial"/>
                <w:kern w:val="0"/>
                <w:sz w:val="18"/>
                <w:szCs w:val="18"/>
              </w:rPr>
            </w:pPr>
            <w:r>
              <w:rPr>
                <w:rFonts w:ascii="宋体" w:hAnsi="宋体" w:cs="Arial"/>
                <w:kern w:val="0"/>
                <w:sz w:val="18"/>
                <w:szCs w:val="18"/>
              </w:rPr>
              <w:t xml:space="preserve">81 </w:t>
            </w:r>
          </w:p>
        </w:tc>
        <w:tc>
          <w:tcPr>
            <w:tcW w:w="1100" w:type="dxa"/>
            <w:tcBorders>
              <w:top w:val="nil"/>
              <w:left w:val="nil"/>
              <w:bottom w:val="single" w:color="000000" w:sz="4" w:space="0"/>
              <w:right w:val="single" w:color="000000" w:sz="4" w:space="0"/>
            </w:tcBorders>
            <w:vAlign w:val="center"/>
          </w:tcPr>
          <w:p w14:paraId="54E81CAF">
            <w:pPr>
              <w:widowControl/>
              <w:jc w:val="center"/>
              <w:rPr>
                <w:rFonts w:ascii="宋体" w:hAnsi="宋体" w:cs="Arial"/>
                <w:kern w:val="0"/>
                <w:sz w:val="18"/>
                <w:szCs w:val="18"/>
              </w:rPr>
            </w:pPr>
            <w:r>
              <w:rPr>
                <w:rFonts w:ascii="宋体" w:hAnsi="宋体" w:cs="Arial"/>
                <w:kern w:val="0"/>
                <w:sz w:val="18"/>
                <w:szCs w:val="18"/>
              </w:rPr>
              <w:t>可靠性要求</w:t>
            </w:r>
          </w:p>
        </w:tc>
        <w:tc>
          <w:tcPr>
            <w:tcW w:w="1100" w:type="dxa"/>
            <w:vMerge w:val="continue"/>
            <w:tcBorders>
              <w:top w:val="nil"/>
              <w:left w:val="single" w:color="000000" w:sz="4" w:space="0"/>
              <w:bottom w:val="single" w:color="000000" w:sz="4" w:space="0"/>
              <w:right w:val="single" w:color="000000" w:sz="4" w:space="0"/>
            </w:tcBorders>
            <w:vAlign w:val="center"/>
          </w:tcPr>
          <w:p w14:paraId="67A13C57">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2F94BC7C">
            <w:pPr>
              <w:widowControl/>
              <w:jc w:val="center"/>
              <w:rPr>
                <w:rFonts w:ascii="宋体" w:hAnsi="宋体" w:cs="Arial"/>
                <w:kern w:val="0"/>
                <w:sz w:val="18"/>
                <w:szCs w:val="18"/>
              </w:rPr>
            </w:pPr>
            <w:r>
              <w:rPr>
                <w:rFonts w:ascii="宋体" w:hAnsi="宋体" w:cs="Arial"/>
                <w:kern w:val="0"/>
                <w:sz w:val="18"/>
                <w:szCs w:val="18"/>
              </w:rPr>
              <w:t>异地容灾</w:t>
            </w:r>
          </w:p>
        </w:tc>
        <w:tc>
          <w:tcPr>
            <w:tcW w:w="8953" w:type="dxa"/>
            <w:tcBorders>
              <w:top w:val="nil"/>
              <w:left w:val="nil"/>
              <w:bottom w:val="single" w:color="000000" w:sz="4" w:space="0"/>
              <w:right w:val="single" w:color="000000" w:sz="4" w:space="0"/>
            </w:tcBorders>
            <w:vAlign w:val="center"/>
          </w:tcPr>
          <w:p w14:paraId="780FA395">
            <w:pPr>
              <w:widowControl/>
              <w:jc w:val="left"/>
              <w:rPr>
                <w:rFonts w:ascii="宋体" w:hAnsi="宋体" w:cs="Arial"/>
                <w:kern w:val="0"/>
                <w:sz w:val="18"/>
                <w:szCs w:val="18"/>
              </w:rPr>
            </w:pPr>
            <w:r>
              <w:rPr>
                <w:rFonts w:ascii="宋体" w:hAnsi="宋体" w:cs="Arial"/>
                <w:kern w:val="0"/>
                <w:sz w:val="18"/>
                <w:szCs w:val="18"/>
              </w:rPr>
              <w:t xml:space="preserve"> a)城市级故障，比如地震，业务可以切换到异地；b)异地灾备场景支持两地三中心部署架构，在本地建立同城灾备中心，在异地建立异地灾备中心，RPO时间小于1分钟，RTO时间小于10分钟</w:t>
            </w:r>
          </w:p>
        </w:tc>
      </w:tr>
      <w:tr w14:paraId="72C1BED8">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1DFA3C2F">
            <w:pPr>
              <w:widowControl/>
              <w:jc w:val="center"/>
              <w:rPr>
                <w:rFonts w:ascii="宋体" w:hAnsi="宋体" w:cs="Arial"/>
                <w:kern w:val="0"/>
                <w:sz w:val="18"/>
                <w:szCs w:val="18"/>
              </w:rPr>
            </w:pPr>
            <w:r>
              <w:rPr>
                <w:rFonts w:ascii="宋体" w:hAnsi="宋体" w:cs="Arial"/>
                <w:kern w:val="0"/>
                <w:sz w:val="18"/>
                <w:szCs w:val="18"/>
              </w:rPr>
              <w:t xml:space="preserve">82 </w:t>
            </w:r>
          </w:p>
        </w:tc>
        <w:tc>
          <w:tcPr>
            <w:tcW w:w="1100" w:type="dxa"/>
            <w:tcBorders>
              <w:top w:val="nil"/>
              <w:left w:val="nil"/>
              <w:bottom w:val="single" w:color="000000" w:sz="4" w:space="0"/>
              <w:right w:val="single" w:color="000000" w:sz="4" w:space="0"/>
            </w:tcBorders>
            <w:vAlign w:val="center"/>
          </w:tcPr>
          <w:p w14:paraId="23E3AAD9">
            <w:pPr>
              <w:widowControl/>
              <w:jc w:val="center"/>
              <w:rPr>
                <w:rFonts w:ascii="宋体" w:hAnsi="宋体" w:cs="Arial"/>
                <w:kern w:val="0"/>
                <w:sz w:val="18"/>
                <w:szCs w:val="18"/>
              </w:rPr>
            </w:pPr>
            <w:r>
              <w:rPr>
                <w:rFonts w:ascii="宋体" w:hAnsi="宋体" w:cs="Arial"/>
                <w:kern w:val="0"/>
                <w:sz w:val="18"/>
                <w:szCs w:val="18"/>
              </w:rPr>
              <w:t>可靠性要求</w:t>
            </w:r>
          </w:p>
        </w:tc>
        <w:tc>
          <w:tcPr>
            <w:tcW w:w="1100" w:type="dxa"/>
            <w:vMerge w:val="restart"/>
            <w:tcBorders>
              <w:top w:val="nil"/>
              <w:left w:val="single" w:color="000000" w:sz="4" w:space="0"/>
              <w:bottom w:val="single" w:color="000000" w:sz="4" w:space="0"/>
              <w:right w:val="single" w:color="000000" w:sz="4" w:space="0"/>
            </w:tcBorders>
            <w:vAlign w:val="center"/>
          </w:tcPr>
          <w:p w14:paraId="701DFD27">
            <w:pPr>
              <w:widowControl/>
              <w:jc w:val="center"/>
              <w:rPr>
                <w:rFonts w:ascii="宋体" w:hAnsi="宋体" w:cs="Arial"/>
                <w:kern w:val="0"/>
                <w:sz w:val="18"/>
                <w:szCs w:val="18"/>
              </w:rPr>
            </w:pPr>
            <w:r>
              <w:rPr>
                <w:rFonts w:ascii="宋体" w:hAnsi="宋体" w:cs="Arial"/>
                <w:kern w:val="0"/>
                <w:sz w:val="18"/>
                <w:szCs w:val="18"/>
              </w:rPr>
              <w:t>容错性</w:t>
            </w:r>
          </w:p>
        </w:tc>
        <w:tc>
          <w:tcPr>
            <w:tcW w:w="1100" w:type="dxa"/>
            <w:tcBorders>
              <w:top w:val="nil"/>
              <w:left w:val="nil"/>
              <w:bottom w:val="single" w:color="000000" w:sz="4" w:space="0"/>
              <w:right w:val="single" w:color="000000" w:sz="4" w:space="0"/>
            </w:tcBorders>
            <w:vAlign w:val="center"/>
          </w:tcPr>
          <w:p w14:paraId="4985B575">
            <w:pPr>
              <w:widowControl/>
              <w:jc w:val="center"/>
              <w:rPr>
                <w:rFonts w:ascii="宋体" w:hAnsi="宋体" w:cs="Arial"/>
                <w:kern w:val="0"/>
                <w:sz w:val="18"/>
                <w:szCs w:val="18"/>
              </w:rPr>
            </w:pPr>
            <w:r>
              <w:rPr>
                <w:rFonts w:ascii="宋体" w:hAnsi="宋体" w:cs="Arial"/>
                <w:kern w:val="0"/>
                <w:sz w:val="18"/>
                <w:szCs w:val="18"/>
              </w:rPr>
              <w:t>★服务端编程稳定性</w:t>
            </w:r>
          </w:p>
        </w:tc>
        <w:tc>
          <w:tcPr>
            <w:tcW w:w="8953" w:type="dxa"/>
            <w:tcBorders>
              <w:top w:val="nil"/>
              <w:left w:val="nil"/>
              <w:bottom w:val="single" w:color="000000" w:sz="4" w:space="0"/>
              <w:right w:val="single" w:color="000000" w:sz="4" w:space="0"/>
            </w:tcBorders>
            <w:vAlign w:val="center"/>
          </w:tcPr>
          <w:p w14:paraId="298F1FC0">
            <w:pPr>
              <w:widowControl/>
              <w:jc w:val="left"/>
              <w:rPr>
                <w:rFonts w:ascii="宋体" w:hAnsi="宋体" w:cs="Arial"/>
                <w:kern w:val="0"/>
                <w:sz w:val="18"/>
                <w:szCs w:val="18"/>
              </w:rPr>
            </w:pPr>
            <w:r>
              <w:rPr>
                <w:rFonts w:ascii="宋体" w:hAnsi="宋体" w:cs="Arial"/>
                <w:kern w:val="0"/>
                <w:sz w:val="18"/>
                <w:szCs w:val="18"/>
              </w:rPr>
              <w:t>支持当用户自定义的存储过程、函数运行异常时，数据库稳定运行</w:t>
            </w:r>
          </w:p>
        </w:tc>
      </w:tr>
      <w:tr w14:paraId="2646A6B0">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0DC36A38">
            <w:pPr>
              <w:widowControl/>
              <w:jc w:val="center"/>
              <w:rPr>
                <w:rFonts w:ascii="宋体" w:hAnsi="宋体" w:cs="Arial"/>
                <w:kern w:val="0"/>
                <w:sz w:val="18"/>
                <w:szCs w:val="18"/>
              </w:rPr>
            </w:pPr>
            <w:r>
              <w:rPr>
                <w:rFonts w:ascii="宋体" w:hAnsi="宋体" w:cs="Arial"/>
                <w:kern w:val="0"/>
                <w:sz w:val="18"/>
                <w:szCs w:val="18"/>
              </w:rPr>
              <w:t xml:space="preserve">83 </w:t>
            </w:r>
          </w:p>
        </w:tc>
        <w:tc>
          <w:tcPr>
            <w:tcW w:w="1100" w:type="dxa"/>
            <w:tcBorders>
              <w:top w:val="nil"/>
              <w:left w:val="nil"/>
              <w:bottom w:val="single" w:color="000000" w:sz="4" w:space="0"/>
              <w:right w:val="single" w:color="000000" w:sz="4" w:space="0"/>
            </w:tcBorders>
            <w:vAlign w:val="center"/>
          </w:tcPr>
          <w:p w14:paraId="1CCEA2AA">
            <w:pPr>
              <w:widowControl/>
              <w:jc w:val="center"/>
              <w:rPr>
                <w:rFonts w:ascii="宋体" w:hAnsi="宋体" w:cs="Arial"/>
                <w:kern w:val="0"/>
                <w:sz w:val="18"/>
                <w:szCs w:val="18"/>
              </w:rPr>
            </w:pPr>
            <w:r>
              <w:rPr>
                <w:rFonts w:ascii="宋体" w:hAnsi="宋体" w:cs="Arial"/>
                <w:kern w:val="0"/>
                <w:sz w:val="18"/>
                <w:szCs w:val="18"/>
              </w:rPr>
              <w:t>可靠性要求</w:t>
            </w:r>
          </w:p>
        </w:tc>
        <w:tc>
          <w:tcPr>
            <w:tcW w:w="1100" w:type="dxa"/>
            <w:vMerge w:val="continue"/>
            <w:tcBorders>
              <w:top w:val="nil"/>
              <w:left w:val="single" w:color="000000" w:sz="4" w:space="0"/>
              <w:bottom w:val="single" w:color="000000" w:sz="4" w:space="0"/>
              <w:right w:val="single" w:color="000000" w:sz="4" w:space="0"/>
            </w:tcBorders>
            <w:vAlign w:val="center"/>
          </w:tcPr>
          <w:p w14:paraId="3E430FB3">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2DBE2BDB">
            <w:pPr>
              <w:widowControl/>
              <w:jc w:val="center"/>
              <w:rPr>
                <w:rFonts w:ascii="宋体" w:hAnsi="宋体" w:cs="Arial"/>
                <w:kern w:val="0"/>
                <w:sz w:val="18"/>
                <w:szCs w:val="18"/>
              </w:rPr>
            </w:pPr>
            <w:r>
              <w:rPr>
                <w:rFonts w:ascii="宋体" w:hAnsi="宋体" w:cs="Arial"/>
                <w:kern w:val="0"/>
                <w:sz w:val="18"/>
                <w:szCs w:val="18"/>
              </w:rPr>
              <w:t>★网络容错</w:t>
            </w:r>
          </w:p>
        </w:tc>
        <w:tc>
          <w:tcPr>
            <w:tcW w:w="8953" w:type="dxa"/>
            <w:tcBorders>
              <w:top w:val="nil"/>
              <w:left w:val="nil"/>
              <w:bottom w:val="single" w:color="000000" w:sz="4" w:space="0"/>
              <w:right w:val="single" w:color="000000" w:sz="4" w:space="0"/>
            </w:tcBorders>
            <w:vAlign w:val="center"/>
          </w:tcPr>
          <w:p w14:paraId="73A544A0">
            <w:pPr>
              <w:widowControl/>
              <w:jc w:val="left"/>
              <w:rPr>
                <w:rFonts w:ascii="宋体" w:hAnsi="宋体" w:cs="Arial"/>
                <w:kern w:val="0"/>
                <w:sz w:val="18"/>
                <w:szCs w:val="18"/>
              </w:rPr>
            </w:pPr>
            <w:r>
              <w:rPr>
                <w:rFonts w:ascii="宋体" w:hAnsi="宋体" w:cs="Arial"/>
                <w:kern w:val="0"/>
                <w:sz w:val="18"/>
                <w:szCs w:val="18"/>
              </w:rPr>
              <w:t>支持网络中断时，保障事务一致性</w:t>
            </w:r>
          </w:p>
        </w:tc>
      </w:tr>
      <w:tr w14:paraId="1624019A">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7F756B73">
            <w:pPr>
              <w:widowControl/>
              <w:jc w:val="center"/>
              <w:rPr>
                <w:rFonts w:ascii="宋体" w:hAnsi="宋体" w:cs="Arial"/>
                <w:kern w:val="0"/>
                <w:sz w:val="18"/>
                <w:szCs w:val="18"/>
              </w:rPr>
            </w:pPr>
            <w:r>
              <w:rPr>
                <w:rFonts w:ascii="宋体" w:hAnsi="宋体" w:cs="Arial"/>
                <w:kern w:val="0"/>
                <w:sz w:val="18"/>
                <w:szCs w:val="18"/>
              </w:rPr>
              <w:t xml:space="preserve">84 </w:t>
            </w:r>
          </w:p>
        </w:tc>
        <w:tc>
          <w:tcPr>
            <w:tcW w:w="1100" w:type="dxa"/>
            <w:tcBorders>
              <w:top w:val="nil"/>
              <w:left w:val="nil"/>
              <w:bottom w:val="single" w:color="000000" w:sz="4" w:space="0"/>
              <w:right w:val="single" w:color="000000" w:sz="4" w:space="0"/>
            </w:tcBorders>
            <w:vAlign w:val="center"/>
          </w:tcPr>
          <w:p w14:paraId="56A81FD9">
            <w:pPr>
              <w:widowControl/>
              <w:jc w:val="center"/>
              <w:rPr>
                <w:rFonts w:ascii="宋体" w:hAnsi="宋体" w:cs="Arial"/>
                <w:kern w:val="0"/>
                <w:sz w:val="18"/>
                <w:szCs w:val="18"/>
              </w:rPr>
            </w:pPr>
            <w:r>
              <w:rPr>
                <w:rFonts w:ascii="宋体" w:hAnsi="宋体" w:cs="Arial"/>
                <w:kern w:val="0"/>
                <w:sz w:val="18"/>
                <w:szCs w:val="18"/>
              </w:rPr>
              <w:t>可靠性要求</w:t>
            </w:r>
          </w:p>
        </w:tc>
        <w:tc>
          <w:tcPr>
            <w:tcW w:w="1100" w:type="dxa"/>
            <w:vMerge w:val="continue"/>
            <w:tcBorders>
              <w:top w:val="nil"/>
              <w:left w:val="single" w:color="000000" w:sz="4" w:space="0"/>
              <w:bottom w:val="single" w:color="000000" w:sz="4" w:space="0"/>
              <w:right w:val="single" w:color="000000" w:sz="4" w:space="0"/>
            </w:tcBorders>
            <w:vAlign w:val="center"/>
          </w:tcPr>
          <w:p w14:paraId="0ADAB874">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03E2EDD8">
            <w:pPr>
              <w:widowControl/>
              <w:jc w:val="center"/>
              <w:rPr>
                <w:rFonts w:ascii="宋体" w:hAnsi="宋体" w:cs="Arial"/>
                <w:kern w:val="0"/>
                <w:sz w:val="18"/>
                <w:szCs w:val="18"/>
              </w:rPr>
            </w:pPr>
            <w:r>
              <w:rPr>
                <w:rFonts w:ascii="宋体" w:hAnsi="宋体" w:cs="Arial"/>
                <w:kern w:val="0"/>
                <w:sz w:val="18"/>
                <w:szCs w:val="18"/>
              </w:rPr>
              <w:t>★检测报警</w:t>
            </w:r>
          </w:p>
        </w:tc>
        <w:tc>
          <w:tcPr>
            <w:tcW w:w="8953" w:type="dxa"/>
            <w:tcBorders>
              <w:top w:val="nil"/>
              <w:left w:val="nil"/>
              <w:bottom w:val="single" w:color="000000" w:sz="4" w:space="0"/>
              <w:right w:val="single" w:color="000000" w:sz="4" w:space="0"/>
            </w:tcBorders>
            <w:vAlign w:val="center"/>
          </w:tcPr>
          <w:p w14:paraId="33CB37AF">
            <w:pPr>
              <w:widowControl/>
              <w:jc w:val="left"/>
              <w:rPr>
                <w:rFonts w:ascii="宋体" w:hAnsi="宋体" w:cs="Arial"/>
                <w:kern w:val="0"/>
                <w:sz w:val="18"/>
                <w:szCs w:val="18"/>
              </w:rPr>
            </w:pPr>
            <w:r>
              <w:rPr>
                <w:rFonts w:ascii="宋体" w:hAnsi="宋体" w:cs="Arial"/>
                <w:kern w:val="0"/>
                <w:sz w:val="18"/>
                <w:szCs w:val="18"/>
              </w:rPr>
              <w:t xml:space="preserve"> a) 支持数据库实例启动时错误检测能力； b) 支持加载不同文件格式、不同大小数据出现错误时的故障检测和处理能力； c) 支持数据库备份执行过程中发生故障时报错或者报警能力； d) 支持数据库恢复发生故障时报错或者报警能力</w:t>
            </w:r>
          </w:p>
        </w:tc>
      </w:tr>
      <w:tr w14:paraId="679612C6">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7E5E404A">
            <w:pPr>
              <w:widowControl/>
              <w:jc w:val="center"/>
              <w:rPr>
                <w:rFonts w:ascii="宋体" w:hAnsi="宋体" w:cs="Arial"/>
                <w:kern w:val="0"/>
                <w:sz w:val="18"/>
                <w:szCs w:val="18"/>
              </w:rPr>
            </w:pPr>
            <w:r>
              <w:rPr>
                <w:rFonts w:ascii="宋体" w:hAnsi="宋体" w:cs="Arial"/>
                <w:kern w:val="0"/>
                <w:sz w:val="18"/>
                <w:szCs w:val="18"/>
              </w:rPr>
              <w:t xml:space="preserve">85 </w:t>
            </w:r>
          </w:p>
        </w:tc>
        <w:tc>
          <w:tcPr>
            <w:tcW w:w="1100" w:type="dxa"/>
            <w:tcBorders>
              <w:top w:val="nil"/>
              <w:left w:val="nil"/>
              <w:bottom w:val="single" w:color="000000" w:sz="4" w:space="0"/>
              <w:right w:val="single" w:color="000000" w:sz="4" w:space="0"/>
            </w:tcBorders>
            <w:vAlign w:val="center"/>
          </w:tcPr>
          <w:p w14:paraId="00D564CD">
            <w:pPr>
              <w:widowControl/>
              <w:jc w:val="center"/>
              <w:rPr>
                <w:rFonts w:ascii="宋体" w:hAnsi="宋体" w:cs="Arial"/>
                <w:kern w:val="0"/>
                <w:sz w:val="18"/>
                <w:szCs w:val="18"/>
              </w:rPr>
            </w:pPr>
            <w:r>
              <w:rPr>
                <w:rFonts w:ascii="宋体" w:hAnsi="宋体" w:cs="Arial"/>
                <w:kern w:val="0"/>
                <w:sz w:val="18"/>
                <w:szCs w:val="18"/>
              </w:rPr>
              <w:t>可靠性要求</w:t>
            </w:r>
          </w:p>
        </w:tc>
        <w:tc>
          <w:tcPr>
            <w:tcW w:w="1100" w:type="dxa"/>
            <w:vMerge w:val="continue"/>
            <w:tcBorders>
              <w:top w:val="nil"/>
              <w:left w:val="single" w:color="000000" w:sz="4" w:space="0"/>
              <w:bottom w:val="single" w:color="000000" w:sz="4" w:space="0"/>
              <w:right w:val="single" w:color="000000" w:sz="4" w:space="0"/>
            </w:tcBorders>
            <w:vAlign w:val="center"/>
          </w:tcPr>
          <w:p w14:paraId="1588C126">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3A669CE2">
            <w:pPr>
              <w:widowControl/>
              <w:jc w:val="center"/>
              <w:rPr>
                <w:rFonts w:ascii="宋体" w:hAnsi="宋体" w:cs="Arial"/>
                <w:kern w:val="0"/>
                <w:sz w:val="18"/>
                <w:szCs w:val="18"/>
              </w:rPr>
            </w:pPr>
            <w:r>
              <w:rPr>
                <w:rFonts w:ascii="宋体" w:hAnsi="宋体" w:cs="Arial"/>
                <w:kern w:val="0"/>
                <w:sz w:val="18"/>
                <w:szCs w:val="18"/>
              </w:rPr>
              <w:t>★故障恢复</w:t>
            </w:r>
          </w:p>
        </w:tc>
        <w:tc>
          <w:tcPr>
            <w:tcW w:w="8953" w:type="dxa"/>
            <w:tcBorders>
              <w:top w:val="nil"/>
              <w:left w:val="nil"/>
              <w:bottom w:val="single" w:color="000000" w:sz="4" w:space="0"/>
              <w:right w:val="single" w:color="000000" w:sz="4" w:space="0"/>
            </w:tcBorders>
            <w:vAlign w:val="center"/>
          </w:tcPr>
          <w:p w14:paraId="0D9D536C">
            <w:pPr>
              <w:widowControl/>
              <w:jc w:val="left"/>
              <w:rPr>
                <w:rFonts w:ascii="宋体" w:hAnsi="宋体" w:cs="Arial"/>
                <w:kern w:val="0"/>
                <w:sz w:val="18"/>
                <w:szCs w:val="18"/>
              </w:rPr>
            </w:pPr>
            <w:r>
              <w:rPr>
                <w:rFonts w:ascii="宋体" w:hAnsi="宋体" w:cs="Arial"/>
                <w:kern w:val="0"/>
                <w:sz w:val="18"/>
                <w:szCs w:val="18"/>
              </w:rPr>
              <w:t xml:space="preserve"> a) 系统故障重启后能正常运行且支持数据一致性； b) 支持完全媒体故障恢复的能力； c) 提供基于时间点故障恢复功能</w:t>
            </w:r>
          </w:p>
        </w:tc>
      </w:tr>
      <w:tr w14:paraId="71BAADB5">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035B2D25">
            <w:pPr>
              <w:widowControl/>
              <w:jc w:val="center"/>
              <w:rPr>
                <w:rFonts w:ascii="宋体" w:hAnsi="宋体" w:cs="Arial"/>
                <w:kern w:val="0"/>
                <w:sz w:val="18"/>
                <w:szCs w:val="18"/>
              </w:rPr>
            </w:pPr>
            <w:r>
              <w:rPr>
                <w:rFonts w:ascii="宋体" w:hAnsi="宋体" w:cs="Arial"/>
                <w:kern w:val="0"/>
                <w:sz w:val="18"/>
                <w:szCs w:val="18"/>
              </w:rPr>
              <w:t xml:space="preserve">86 </w:t>
            </w:r>
          </w:p>
        </w:tc>
        <w:tc>
          <w:tcPr>
            <w:tcW w:w="1100" w:type="dxa"/>
            <w:tcBorders>
              <w:top w:val="nil"/>
              <w:left w:val="nil"/>
              <w:bottom w:val="single" w:color="000000" w:sz="4" w:space="0"/>
              <w:right w:val="single" w:color="000000" w:sz="4" w:space="0"/>
            </w:tcBorders>
            <w:vAlign w:val="center"/>
          </w:tcPr>
          <w:p w14:paraId="5BDF978B">
            <w:pPr>
              <w:widowControl/>
              <w:jc w:val="center"/>
              <w:rPr>
                <w:rFonts w:ascii="宋体" w:hAnsi="宋体" w:cs="Arial"/>
                <w:kern w:val="0"/>
                <w:sz w:val="18"/>
                <w:szCs w:val="18"/>
              </w:rPr>
            </w:pPr>
            <w:r>
              <w:rPr>
                <w:rFonts w:ascii="宋体" w:hAnsi="宋体" w:cs="Arial"/>
                <w:kern w:val="0"/>
                <w:sz w:val="18"/>
                <w:szCs w:val="18"/>
              </w:rPr>
              <w:t>可靠性要求</w:t>
            </w:r>
          </w:p>
        </w:tc>
        <w:tc>
          <w:tcPr>
            <w:tcW w:w="1100" w:type="dxa"/>
            <w:vMerge w:val="continue"/>
            <w:tcBorders>
              <w:top w:val="nil"/>
              <w:left w:val="single" w:color="000000" w:sz="4" w:space="0"/>
              <w:bottom w:val="single" w:color="000000" w:sz="4" w:space="0"/>
              <w:right w:val="single" w:color="000000" w:sz="4" w:space="0"/>
            </w:tcBorders>
            <w:vAlign w:val="center"/>
          </w:tcPr>
          <w:p w14:paraId="2BC584B1">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538041EE">
            <w:pPr>
              <w:widowControl/>
              <w:jc w:val="center"/>
              <w:rPr>
                <w:rFonts w:ascii="宋体" w:hAnsi="宋体" w:cs="Arial"/>
                <w:kern w:val="0"/>
                <w:sz w:val="18"/>
                <w:szCs w:val="18"/>
              </w:rPr>
            </w:pPr>
            <w:r>
              <w:rPr>
                <w:rFonts w:ascii="宋体" w:hAnsi="宋体" w:cs="Arial"/>
                <w:kern w:val="0"/>
                <w:sz w:val="18"/>
                <w:szCs w:val="18"/>
              </w:rPr>
              <w:t>★不同级别故障可恢复</w:t>
            </w:r>
          </w:p>
        </w:tc>
        <w:tc>
          <w:tcPr>
            <w:tcW w:w="8953" w:type="dxa"/>
            <w:tcBorders>
              <w:top w:val="nil"/>
              <w:left w:val="nil"/>
              <w:bottom w:val="single" w:color="000000" w:sz="4" w:space="0"/>
              <w:right w:val="single" w:color="000000" w:sz="4" w:space="0"/>
            </w:tcBorders>
            <w:vAlign w:val="center"/>
          </w:tcPr>
          <w:p w14:paraId="7A6E3A2C">
            <w:pPr>
              <w:widowControl/>
              <w:jc w:val="left"/>
              <w:rPr>
                <w:rFonts w:ascii="宋体" w:hAnsi="宋体" w:cs="Arial"/>
                <w:kern w:val="0"/>
                <w:sz w:val="18"/>
                <w:szCs w:val="18"/>
              </w:rPr>
            </w:pPr>
            <w:r>
              <w:rPr>
                <w:rFonts w:ascii="宋体" w:hAnsi="宋体" w:cs="Arial"/>
                <w:kern w:val="0"/>
                <w:sz w:val="18"/>
                <w:szCs w:val="18"/>
              </w:rPr>
              <w:t>支持数据库事务故障、系统故障、存储媒体故障不同级别的可恢复能力</w:t>
            </w:r>
          </w:p>
        </w:tc>
      </w:tr>
      <w:tr w14:paraId="4C814B60">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21A6DF2F">
            <w:pPr>
              <w:widowControl/>
              <w:jc w:val="center"/>
              <w:rPr>
                <w:rFonts w:ascii="宋体" w:hAnsi="宋体" w:cs="Arial"/>
                <w:kern w:val="0"/>
                <w:sz w:val="18"/>
                <w:szCs w:val="18"/>
              </w:rPr>
            </w:pPr>
            <w:r>
              <w:rPr>
                <w:rFonts w:ascii="宋体" w:hAnsi="宋体" w:cs="Arial"/>
                <w:kern w:val="0"/>
                <w:sz w:val="18"/>
                <w:szCs w:val="18"/>
              </w:rPr>
              <w:t xml:space="preserve">87 </w:t>
            </w:r>
          </w:p>
        </w:tc>
        <w:tc>
          <w:tcPr>
            <w:tcW w:w="1100" w:type="dxa"/>
            <w:tcBorders>
              <w:top w:val="nil"/>
              <w:left w:val="nil"/>
              <w:bottom w:val="single" w:color="000000" w:sz="4" w:space="0"/>
              <w:right w:val="single" w:color="000000" w:sz="4" w:space="0"/>
            </w:tcBorders>
            <w:vAlign w:val="center"/>
          </w:tcPr>
          <w:p w14:paraId="19CCCD3E">
            <w:pPr>
              <w:widowControl/>
              <w:jc w:val="center"/>
              <w:rPr>
                <w:rFonts w:ascii="宋体" w:hAnsi="宋体" w:cs="Arial"/>
                <w:kern w:val="0"/>
                <w:sz w:val="18"/>
                <w:szCs w:val="18"/>
              </w:rPr>
            </w:pPr>
            <w:r>
              <w:rPr>
                <w:rFonts w:ascii="宋体" w:hAnsi="宋体" w:cs="Arial"/>
                <w:kern w:val="0"/>
                <w:sz w:val="18"/>
                <w:szCs w:val="18"/>
              </w:rPr>
              <w:t>兼容要求</w:t>
            </w:r>
          </w:p>
        </w:tc>
        <w:tc>
          <w:tcPr>
            <w:tcW w:w="1100" w:type="dxa"/>
            <w:tcBorders>
              <w:top w:val="nil"/>
              <w:left w:val="nil"/>
              <w:bottom w:val="single" w:color="000000" w:sz="4" w:space="0"/>
              <w:right w:val="single" w:color="000000" w:sz="4" w:space="0"/>
            </w:tcBorders>
            <w:vAlign w:val="center"/>
          </w:tcPr>
          <w:p w14:paraId="60EA7BB8">
            <w:pPr>
              <w:widowControl/>
              <w:jc w:val="center"/>
              <w:rPr>
                <w:rFonts w:ascii="宋体" w:hAnsi="宋体" w:cs="Arial"/>
                <w:kern w:val="0"/>
                <w:sz w:val="18"/>
                <w:szCs w:val="18"/>
              </w:rPr>
            </w:pPr>
            <w:r>
              <w:rPr>
                <w:rFonts w:ascii="宋体" w:hAnsi="宋体" w:cs="Arial"/>
                <w:kern w:val="0"/>
                <w:sz w:val="18"/>
                <w:szCs w:val="18"/>
              </w:rPr>
              <w:t>软件兼容</w:t>
            </w:r>
          </w:p>
        </w:tc>
        <w:tc>
          <w:tcPr>
            <w:tcW w:w="1100" w:type="dxa"/>
            <w:tcBorders>
              <w:top w:val="nil"/>
              <w:left w:val="nil"/>
              <w:bottom w:val="single" w:color="000000" w:sz="4" w:space="0"/>
              <w:right w:val="single" w:color="000000" w:sz="4" w:space="0"/>
            </w:tcBorders>
            <w:vAlign w:val="center"/>
          </w:tcPr>
          <w:p w14:paraId="1E992487">
            <w:pPr>
              <w:widowControl/>
              <w:jc w:val="center"/>
              <w:rPr>
                <w:rFonts w:ascii="宋体" w:hAnsi="宋体" w:cs="Arial"/>
                <w:kern w:val="0"/>
                <w:sz w:val="18"/>
                <w:szCs w:val="18"/>
              </w:rPr>
            </w:pPr>
            <w:r>
              <w:rPr>
                <w:rFonts w:ascii="宋体" w:hAnsi="宋体" w:cs="Arial"/>
                <w:kern w:val="0"/>
                <w:sz w:val="18"/>
                <w:szCs w:val="18"/>
              </w:rPr>
              <w:t>云化部署</w:t>
            </w:r>
          </w:p>
        </w:tc>
        <w:tc>
          <w:tcPr>
            <w:tcW w:w="8953" w:type="dxa"/>
            <w:tcBorders>
              <w:top w:val="nil"/>
              <w:left w:val="nil"/>
              <w:bottom w:val="single" w:color="000000" w:sz="4" w:space="0"/>
              <w:right w:val="single" w:color="000000" w:sz="4" w:space="0"/>
            </w:tcBorders>
            <w:vAlign w:val="center"/>
          </w:tcPr>
          <w:p w14:paraId="741B0AFC">
            <w:pPr>
              <w:widowControl/>
              <w:jc w:val="left"/>
              <w:rPr>
                <w:rFonts w:ascii="宋体" w:hAnsi="宋体" w:cs="Arial"/>
                <w:kern w:val="0"/>
                <w:sz w:val="18"/>
                <w:szCs w:val="18"/>
              </w:rPr>
            </w:pPr>
            <w:r>
              <w:rPr>
                <w:rFonts w:ascii="宋体" w:hAnsi="宋体" w:cs="Arial"/>
                <w:kern w:val="0"/>
                <w:sz w:val="18"/>
                <w:szCs w:val="18"/>
              </w:rPr>
              <w:t>持虚拟化部署或容器化部署等云化部署方式</w:t>
            </w:r>
          </w:p>
        </w:tc>
      </w:tr>
      <w:tr w14:paraId="1E066E6D">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17357606">
            <w:pPr>
              <w:widowControl/>
              <w:jc w:val="center"/>
              <w:rPr>
                <w:rFonts w:ascii="宋体" w:hAnsi="宋体" w:cs="Arial"/>
                <w:kern w:val="0"/>
                <w:sz w:val="18"/>
                <w:szCs w:val="18"/>
              </w:rPr>
            </w:pPr>
            <w:r>
              <w:rPr>
                <w:rFonts w:ascii="宋体" w:hAnsi="宋体" w:cs="Arial"/>
                <w:kern w:val="0"/>
                <w:sz w:val="18"/>
                <w:szCs w:val="18"/>
              </w:rPr>
              <w:t xml:space="preserve">88 </w:t>
            </w:r>
          </w:p>
        </w:tc>
        <w:tc>
          <w:tcPr>
            <w:tcW w:w="1100" w:type="dxa"/>
            <w:tcBorders>
              <w:top w:val="nil"/>
              <w:left w:val="nil"/>
              <w:bottom w:val="single" w:color="000000" w:sz="4" w:space="0"/>
              <w:right w:val="single" w:color="000000" w:sz="4" w:space="0"/>
            </w:tcBorders>
            <w:vAlign w:val="center"/>
          </w:tcPr>
          <w:p w14:paraId="78FD76FA">
            <w:pPr>
              <w:widowControl/>
              <w:jc w:val="center"/>
              <w:rPr>
                <w:rFonts w:ascii="宋体" w:hAnsi="宋体" w:cs="Arial"/>
                <w:kern w:val="0"/>
                <w:sz w:val="18"/>
                <w:szCs w:val="18"/>
              </w:rPr>
            </w:pPr>
            <w:r>
              <w:rPr>
                <w:rFonts w:ascii="宋体" w:hAnsi="宋体" w:cs="Arial"/>
                <w:kern w:val="0"/>
                <w:sz w:val="18"/>
                <w:szCs w:val="18"/>
              </w:rPr>
              <w:t>兼容要求</w:t>
            </w:r>
          </w:p>
        </w:tc>
        <w:tc>
          <w:tcPr>
            <w:tcW w:w="1100" w:type="dxa"/>
            <w:tcBorders>
              <w:top w:val="nil"/>
              <w:left w:val="nil"/>
              <w:bottom w:val="single" w:color="000000" w:sz="4" w:space="0"/>
              <w:right w:val="single" w:color="000000" w:sz="4" w:space="0"/>
            </w:tcBorders>
            <w:vAlign w:val="center"/>
          </w:tcPr>
          <w:p w14:paraId="2ECA5ADE">
            <w:pPr>
              <w:widowControl/>
              <w:jc w:val="center"/>
              <w:rPr>
                <w:rFonts w:ascii="宋体" w:hAnsi="宋体" w:cs="Arial"/>
                <w:kern w:val="0"/>
                <w:sz w:val="18"/>
                <w:szCs w:val="18"/>
              </w:rPr>
            </w:pPr>
            <w:r>
              <w:rPr>
                <w:rFonts w:ascii="宋体" w:hAnsi="宋体" w:cs="Arial"/>
                <w:kern w:val="0"/>
                <w:sz w:val="18"/>
                <w:szCs w:val="18"/>
              </w:rPr>
              <w:t>硬件兼容</w:t>
            </w:r>
          </w:p>
        </w:tc>
        <w:tc>
          <w:tcPr>
            <w:tcW w:w="1100" w:type="dxa"/>
            <w:tcBorders>
              <w:top w:val="nil"/>
              <w:left w:val="nil"/>
              <w:bottom w:val="single" w:color="000000" w:sz="4" w:space="0"/>
              <w:right w:val="single" w:color="000000" w:sz="4" w:space="0"/>
            </w:tcBorders>
            <w:vAlign w:val="center"/>
          </w:tcPr>
          <w:p w14:paraId="240CCED7">
            <w:pPr>
              <w:widowControl/>
              <w:jc w:val="center"/>
              <w:rPr>
                <w:rFonts w:ascii="宋体" w:hAnsi="宋体" w:cs="Arial"/>
                <w:kern w:val="0"/>
                <w:sz w:val="18"/>
                <w:szCs w:val="18"/>
              </w:rPr>
            </w:pPr>
            <w:r>
              <w:rPr>
                <w:rFonts w:ascii="宋体" w:hAnsi="宋体" w:cs="Arial"/>
                <w:kern w:val="0"/>
                <w:sz w:val="18"/>
                <w:szCs w:val="18"/>
              </w:rPr>
              <w:t>★硬件平台兼容</w:t>
            </w:r>
          </w:p>
        </w:tc>
        <w:tc>
          <w:tcPr>
            <w:tcW w:w="8953" w:type="dxa"/>
            <w:tcBorders>
              <w:top w:val="nil"/>
              <w:left w:val="nil"/>
              <w:bottom w:val="single" w:color="000000" w:sz="4" w:space="0"/>
              <w:right w:val="single" w:color="000000" w:sz="4" w:space="0"/>
            </w:tcBorders>
            <w:vAlign w:val="center"/>
          </w:tcPr>
          <w:p w14:paraId="1A67DFEE">
            <w:pPr>
              <w:widowControl/>
              <w:jc w:val="left"/>
              <w:rPr>
                <w:rFonts w:ascii="宋体" w:hAnsi="宋体" w:cs="Arial"/>
                <w:kern w:val="0"/>
                <w:sz w:val="18"/>
                <w:szCs w:val="18"/>
              </w:rPr>
            </w:pPr>
            <w:r>
              <w:rPr>
                <w:rFonts w:ascii="宋体" w:hAnsi="宋体" w:cs="Arial"/>
                <w:kern w:val="0"/>
                <w:sz w:val="18"/>
                <w:szCs w:val="18"/>
              </w:rPr>
              <w:t xml:space="preserve"> a) 同源支持以下至少三种 CPU 平台架构： 1) ARM； 2) LoongArch； 3) MIPS； 4) SW64； 5) x86； b) 支持 SMP 和 NUMA 的运行环境</w:t>
            </w:r>
          </w:p>
        </w:tc>
      </w:tr>
      <w:tr w14:paraId="73C8EBC3">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77C71194">
            <w:pPr>
              <w:widowControl/>
              <w:jc w:val="center"/>
              <w:rPr>
                <w:rFonts w:ascii="宋体" w:hAnsi="宋体" w:cs="Arial"/>
                <w:kern w:val="0"/>
                <w:sz w:val="18"/>
                <w:szCs w:val="18"/>
              </w:rPr>
            </w:pPr>
            <w:r>
              <w:rPr>
                <w:rFonts w:ascii="宋体" w:hAnsi="宋体" w:cs="Arial"/>
                <w:kern w:val="0"/>
                <w:sz w:val="18"/>
                <w:szCs w:val="18"/>
              </w:rPr>
              <w:t xml:space="preserve">89 </w:t>
            </w:r>
          </w:p>
        </w:tc>
        <w:tc>
          <w:tcPr>
            <w:tcW w:w="1100" w:type="dxa"/>
            <w:tcBorders>
              <w:top w:val="nil"/>
              <w:left w:val="nil"/>
              <w:bottom w:val="single" w:color="000000" w:sz="4" w:space="0"/>
              <w:right w:val="single" w:color="000000" w:sz="4" w:space="0"/>
            </w:tcBorders>
            <w:vAlign w:val="center"/>
          </w:tcPr>
          <w:p w14:paraId="2AFA4DA2">
            <w:pPr>
              <w:widowControl/>
              <w:jc w:val="center"/>
              <w:rPr>
                <w:rFonts w:ascii="宋体" w:hAnsi="宋体" w:cs="Arial"/>
                <w:kern w:val="0"/>
                <w:sz w:val="18"/>
                <w:szCs w:val="18"/>
              </w:rPr>
            </w:pPr>
            <w:r>
              <w:rPr>
                <w:rFonts w:ascii="宋体" w:hAnsi="宋体" w:cs="Arial"/>
                <w:kern w:val="0"/>
                <w:sz w:val="18"/>
                <w:szCs w:val="18"/>
              </w:rPr>
              <w:t>兼容要求</w:t>
            </w:r>
          </w:p>
        </w:tc>
        <w:tc>
          <w:tcPr>
            <w:tcW w:w="1100" w:type="dxa"/>
            <w:vMerge w:val="restart"/>
            <w:tcBorders>
              <w:top w:val="nil"/>
              <w:left w:val="single" w:color="000000" w:sz="4" w:space="0"/>
              <w:bottom w:val="single" w:color="000000" w:sz="4" w:space="0"/>
              <w:right w:val="single" w:color="000000" w:sz="4" w:space="0"/>
            </w:tcBorders>
            <w:vAlign w:val="center"/>
          </w:tcPr>
          <w:p w14:paraId="5F8104DC">
            <w:pPr>
              <w:widowControl/>
              <w:jc w:val="center"/>
              <w:rPr>
                <w:rFonts w:ascii="宋体" w:hAnsi="宋体" w:cs="Arial"/>
                <w:kern w:val="0"/>
                <w:sz w:val="18"/>
                <w:szCs w:val="18"/>
              </w:rPr>
            </w:pPr>
            <w:r>
              <w:rPr>
                <w:rFonts w:ascii="宋体" w:hAnsi="宋体" w:cs="Arial"/>
                <w:kern w:val="0"/>
                <w:sz w:val="18"/>
                <w:szCs w:val="18"/>
              </w:rPr>
              <w:t xml:space="preserve">  标准兼容</w:t>
            </w:r>
          </w:p>
        </w:tc>
        <w:tc>
          <w:tcPr>
            <w:tcW w:w="1100" w:type="dxa"/>
            <w:tcBorders>
              <w:top w:val="nil"/>
              <w:left w:val="nil"/>
              <w:bottom w:val="single" w:color="000000" w:sz="4" w:space="0"/>
              <w:right w:val="single" w:color="000000" w:sz="4" w:space="0"/>
            </w:tcBorders>
            <w:vAlign w:val="center"/>
          </w:tcPr>
          <w:p w14:paraId="73A450EC">
            <w:pPr>
              <w:widowControl/>
              <w:jc w:val="center"/>
              <w:rPr>
                <w:rFonts w:ascii="宋体" w:hAnsi="宋体" w:cs="Arial"/>
                <w:kern w:val="0"/>
                <w:sz w:val="18"/>
                <w:szCs w:val="18"/>
              </w:rPr>
            </w:pPr>
            <w:r>
              <w:rPr>
                <w:rFonts w:ascii="宋体" w:hAnsi="宋体" w:cs="Arial"/>
                <w:kern w:val="0"/>
                <w:sz w:val="18"/>
                <w:szCs w:val="18"/>
              </w:rPr>
              <w:t>★ODBC</w:t>
            </w:r>
          </w:p>
        </w:tc>
        <w:tc>
          <w:tcPr>
            <w:tcW w:w="8953" w:type="dxa"/>
            <w:tcBorders>
              <w:top w:val="nil"/>
              <w:left w:val="nil"/>
              <w:bottom w:val="single" w:color="000000" w:sz="4" w:space="0"/>
              <w:right w:val="single" w:color="000000" w:sz="4" w:space="0"/>
            </w:tcBorders>
            <w:vAlign w:val="center"/>
          </w:tcPr>
          <w:p w14:paraId="01C1683F">
            <w:pPr>
              <w:widowControl/>
              <w:jc w:val="left"/>
              <w:rPr>
                <w:rFonts w:ascii="宋体" w:hAnsi="宋体" w:cs="Arial"/>
                <w:kern w:val="0"/>
                <w:sz w:val="18"/>
                <w:szCs w:val="18"/>
              </w:rPr>
            </w:pPr>
            <w:r>
              <w:rPr>
                <w:rFonts w:ascii="宋体" w:hAnsi="宋体" w:cs="Arial"/>
                <w:kern w:val="0"/>
                <w:sz w:val="18"/>
                <w:szCs w:val="18"/>
              </w:rPr>
              <w:t>支持 ODBC</w:t>
            </w:r>
          </w:p>
        </w:tc>
      </w:tr>
      <w:tr w14:paraId="46F819F2">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7E097E7E">
            <w:pPr>
              <w:widowControl/>
              <w:jc w:val="center"/>
              <w:rPr>
                <w:rFonts w:ascii="宋体" w:hAnsi="宋体" w:cs="Arial"/>
                <w:kern w:val="0"/>
                <w:sz w:val="18"/>
                <w:szCs w:val="18"/>
              </w:rPr>
            </w:pPr>
            <w:r>
              <w:rPr>
                <w:rFonts w:ascii="宋体" w:hAnsi="宋体" w:cs="Arial"/>
                <w:kern w:val="0"/>
                <w:sz w:val="18"/>
                <w:szCs w:val="18"/>
              </w:rPr>
              <w:t xml:space="preserve">90 </w:t>
            </w:r>
          </w:p>
        </w:tc>
        <w:tc>
          <w:tcPr>
            <w:tcW w:w="1100" w:type="dxa"/>
            <w:tcBorders>
              <w:top w:val="nil"/>
              <w:left w:val="nil"/>
              <w:bottom w:val="single" w:color="000000" w:sz="4" w:space="0"/>
              <w:right w:val="single" w:color="000000" w:sz="4" w:space="0"/>
            </w:tcBorders>
            <w:vAlign w:val="center"/>
          </w:tcPr>
          <w:p w14:paraId="4D4692D8">
            <w:pPr>
              <w:widowControl/>
              <w:jc w:val="center"/>
              <w:rPr>
                <w:rFonts w:ascii="宋体" w:hAnsi="宋体" w:cs="Arial"/>
                <w:kern w:val="0"/>
                <w:sz w:val="18"/>
                <w:szCs w:val="18"/>
              </w:rPr>
            </w:pPr>
            <w:r>
              <w:rPr>
                <w:rFonts w:ascii="宋体" w:hAnsi="宋体" w:cs="Arial"/>
                <w:kern w:val="0"/>
                <w:sz w:val="18"/>
                <w:szCs w:val="18"/>
              </w:rPr>
              <w:t>兼容要求</w:t>
            </w:r>
          </w:p>
        </w:tc>
        <w:tc>
          <w:tcPr>
            <w:tcW w:w="1100" w:type="dxa"/>
            <w:vMerge w:val="continue"/>
            <w:tcBorders>
              <w:top w:val="nil"/>
              <w:left w:val="single" w:color="000000" w:sz="4" w:space="0"/>
              <w:bottom w:val="single" w:color="000000" w:sz="4" w:space="0"/>
              <w:right w:val="single" w:color="000000" w:sz="4" w:space="0"/>
            </w:tcBorders>
            <w:vAlign w:val="center"/>
          </w:tcPr>
          <w:p w14:paraId="277C580A">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684A3CDD">
            <w:pPr>
              <w:widowControl/>
              <w:jc w:val="center"/>
              <w:rPr>
                <w:rFonts w:ascii="宋体" w:hAnsi="宋体" w:cs="Arial"/>
                <w:kern w:val="0"/>
                <w:sz w:val="18"/>
                <w:szCs w:val="18"/>
              </w:rPr>
            </w:pPr>
            <w:r>
              <w:rPr>
                <w:rFonts w:ascii="宋体" w:hAnsi="宋体" w:cs="Arial"/>
                <w:kern w:val="0"/>
                <w:sz w:val="18"/>
                <w:szCs w:val="18"/>
              </w:rPr>
              <w:t>★JDBC</w:t>
            </w:r>
          </w:p>
        </w:tc>
        <w:tc>
          <w:tcPr>
            <w:tcW w:w="8953" w:type="dxa"/>
            <w:tcBorders>
              <w:top w:val="nil"/>
              <w:left w:val="nil"/>
              <w:bottom w:val="single" w:color="000000" w:sz="4" w:space="0"/>
              <w:right w:val="single" w:color="000000" w:sz="4" w:space="0"/>
            </w:tcBorders>
            <w:vAlign w:val="center"/>
          </w:tcPr>
          <w:p w14:paraId="030DE433">
            <w:pPr>
              <w:widowControl/>
              <w:jc w:val="left"/>
              <w:rPr>
                <w:rFonts w:ascii="宋体" w:hAnsi="宋体" w:cs="Arial"/>
                <w:kern w:val="0"/>
                <w:sz w:val="18"/>
                <w:szCs w:val="18"/>
              </w:rPr>
            </w:pPr>
            <w:r>
              <w:rPr>
                <w:rFonts w:ascii="宋体" w:hAnsi="宋体" w:cs="Arial"/>
                <w:kern w:val="0"/>
                <w:sz w:val="18"/>
                <w:szCs w:val="18"/>
              </w:rPr>
              <w:t>支持 JDBC</w:t>
            </w:r>
          </w:p>
        </w:tc>
      </w:tr>
      <w:tr w14:paraId="7AAE8566">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37083335">
            <w:pPr>
              <w:widowControl/>
              <w:jc w:val="center"/>
              <w:rPr>
                <w:rFonts w:ascii="宋体" w:hAnsi="宋体" w:cs="Arial"/>
                <w:kern w:val="0"/>
                <w:sz w:val="18"/>
                <w:szCs w:val="18"/>
              </w:rPr>
            </w:pPr>
            <w:r>
              <w:rPr>
                <w:rFonts w:ascii="宋体" w:hAnsi="宋体" w:cs="Arial"/>
                <w:kern w:val="0"/>
                <w:sz w:val="18"/>
                <w:szCs w:val="18"/>
              </w:rPr>
              <w:t xml:space="preserve">91 </w:t>
            </w:r>
          </w:p>
        </w:tc>
        <w:tc>
          <w:tcPr>
            <w:tcW w:w="1100" w:type="dxa"/>
            <w:tcBorders>
              <w:top w:val="nil"/>
              <w:left w:val="nil"/>
              <w:bottom w:val="single" w:color="000000" w:sz="4" w:space="0"/>
              <w:right w:val="single" w:color="000000" w:sz="4" w:space="0"/>
            </w:tcBorders>
            <w:vAlign w:val="center"/>
          </w:tcPr>
          <w:p w14:paraId="50A13E03">
            <w:pPr>
              <w:widowControl/>
              <w:jc w:val="center"/>
              <w:rPr>
                <w:rFonts w:ascii="宋体" w:hAnsi="宋体" w:cs="Arial"/>
                <w:kern w:val="0"/>
                <w:sz w:val="18"/>
                <w:szCs w:val="18"/>
              </w:rPr>
            </w:pPr>
            <w:r>
              <w:rPr>
                <w:rFonts w:ascii="宋体" w:hAnsi="宋体" w:cs="Arial"/>
                <w:kern w:val="0"/>
                <w:sz w:val="18"/>
                <w:szCs w:val="18"/>
              </w:rPr>
              <w:t>服务要求</w:t>
            </w:r>
          </w:p>
        </w:tc>
        <w:tc>
          <w:tcPr>
            <w:tcW w:w="1100" w:type="dxa"/>
            <w:tcBorders>
              <w:top w:val="nil"/>
              <w:left w:val="nil"/>
              <w:bottom w:val="single" w:color="000000" w:sz="4" w:space="0"/>
              <w:right w:val="single" w:color="000000" w:sz="4" w:space="0"/>
            </w:tcBorders>
            <w:vAlign w:val="center"/>
          </w:tcPr>
          <w:p w14:paraId="54D4D70D">
            <w:pPr>
              <w:widowControl/>
              <w:jc w:val="center"/>
              <w:rPr>
                <w:rFonts w:ascii="宋体" w:hAnsi="宋体" w:cs="Arial"/>
                <w:kern w:val="0"/>
                <w:sz w:val="18"/>
                <w:szCs w:val="18"/>
              </w:rPr>
            </w:pPr>
            <w:r>
              <w:rPr>
                <w:rFonts w:ascii="宋体" w:hAnsi="宋体" w:cs="Arial"/>
                <w:kern w:val="0"/>
                <w:sz w:val="18"/>
                <w:szCs w:val="18"/>
              </w:rPr>
              <w:t xml:space="preserve">  交付方式</w:t>
            </w:r>
          </w:p>
        </w:tc>
        <w:tc>
          <w:tcPr>
            <w:tcW w:w="1100" w:type="dxa"/>
            <w:tcBorders>
              <w:top w:val="nil"/>
              <w:left w:val="nil"/>
              <w:bottom w:val="single" w:color="000000" w:sz="4" w:space="0"/>
              <w:right w:val="single" w:color="000000" w:sz="4" w:space="0"/>
            </w:tcBorders>
            <w:vAlign w:val="center"/>
          </w:tcPr>
          <w:p w14:paraId="044ADF06">
            <w:pPr>
              <w:widowControl/>
              <w:jc w:val="center"/>
              <w:rPr>
                <w:rFonts w:ascii="宋体" w:hAnsi="宋体" w:cs="Arial"/>
                <w:kern w:val="0"/>
                <w:sz w:val="18"/>
                <w:szCs w:val="18"/>
              </w:rPr>
            </w:pPr>
            <w:r>
              <w:rPr>
                <w:rFonts w:ascii="宋体" w:hAnsi="宋体" w:cs="Arial"/>
                <w:kern w:val="0"/>
                <w:sz w:val="18"/>
                <w:szCs w:val="18"/>
              </w:rPr>
              <w:t>★交付方式</w:t>
            </w:r>
          </w:p>
        </w:tc>
        <w:tc>
          <w:tcPr>
            <w:tcW w:w="8953" w:type="dxa"/>
            <w:tcBorders>
              <w:top w:val="nil"/>
              <w:left w:val="nil"/>
              <w:bottom w:val="single" w:color="000000" w:sz="4" w:space="0"/>
              <w:right w:val="single" w:color="000000" w:sz="4" w:space="0"/>
            </w:tcBorders>
            <w:vAlign w:val="center"/>
          </w:tcPr>
          <w:p w14:paraId="475A9FBA">
            <w:pPr>
              <w:widowControl/>
              <w:jc w:val="left"/>
              <w:rPr>
                <w:rFonts w:ascii="宋体" w:hAnsi="宋体" w:cs="Arial"/>
                <w:kern w:val="0"/>
                <w:sz w:val="18"/>
                <w:szCs w:val="18"/>
              </w:rPr>
            </w:pPr>
            <w:r>
              <w:rPr>
                <w:rFonts w:ascii="宋体" w:hAnsi="宋体" w:cs="Arial"/>
                <w:kern w:val="0"/>
                <w:sz w:val="18"/>
                <w:szCs w:val="18"/>
              </w:rPr>
              <w:t>以光盘、便携式移动设备、镜像文件、在线下载等交付方式提供产品交付物</w:t>
            </w:r>
          </w:p>
        </w:tc>
      </w:tr>
      <w:tr w14:paraId="797B3FC5">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14408A4D">
            <w:pPr>
              <w:widowControl/>
              <w:jc w:val="center"/>
              <w:rPr>
                <w:rFonts w:ascii="宋体" w:hAnsi="宋体" w:cs="Arial"/>
                <w:kern w:val="0"/>
                <w:sz w:val="18"/>
                <w:szCs w:val="18"/>
              </w:rPr>
            </w:pPr>
            <w:r>
              <w:rPr>
                <w:rFonts w:ascii="宋体" w:hAnsi="宋体" w:cs="Arial"/>
                <w:kern w:val="0"/>
                <w:sz w:val="18"/>
                <w:szCs w:val="18"/>
              </w:rPr>
              <w:t xml:space="preserve">92 </w:t>
            </w:r>
          </w:p>
        </w:tc>
        <w:tc>
          <w:tcPr>
            <w:tcW w:w="1100" w:type="dxa"/>
            <w:tcBorders>
              <w:top w:val="nil"/>
              <w:left w:val="nil"/>
              <w:bottom w:val="single" w:color="000000" w:sz="4" w:space="0"/>
              <w:right w:val="single" w:color="000000" w:sz="4" w:space="0"/>
            </w:tcBorders>
            <w:vAlign w:val="center"/>
          </w:tcPr>
          <w:p w14:paraId="0B066359">
            <w:pPr>
              <w:widowControl/>
              <w:jc w:val="center"/>
              <w:rPr>
                <w:rFonts w:ascii="宋体" w:hAnsi="宋体" w:cs="Arial"/>
                <w:kern w:val="0"/>
                <w:sz w:val="18"/>
                <w:szCs w:val="18"/>
              </w:rPr>
            </w:pPr>
            <w:r>
              <w:rPr>
                <w:rFonts w:ascii="宋体" w:hAnsi="宋体" w:cs="Arial"/>
                <w:kern w:val="0"/>
                <w:sz w:val="18"/>
                <w:szCs w:val="18"/>
              </w:rPr>
              <w:t>服务要求</w:t>
            </w:r>
          </w:p>
        </w:tc>
        <w:tc>
          <w:tcPr>
            <w:tcW w:w="1100" w:type="dxa"/>
            <w:vMerge w:val="restart"/>
            <w:tcBorders>
              <w:top w:val="nil"/>
              <w:left w:val="single" w:color="000000" w:sz="4" w:space="0"/>
              <w:bottom w:val="single" w:color="000000" w:sz="4" w:space="0"/>
              <w:right w:val="single" w:color="000000" w:sz="4" w:space="0"/>
            </w:tcBorders>
            <w:vAlign w:val="center"/>
          </w:tcPr>
          <w:p w14:paraId="0F1E09BA">
            <w:pPr>
              <w:widowControl/>
              <w:jc w:val="center"/>
              <w:rPr>
                <w:rFonts w:ascii="宋体" w:hAnsi="宋体" w:cs="Arial"/>
                <w:kern w:val="0"/>
                <w:sz w:val="18"/>
                <w:szCs w:val="18"/>
              </w:rPr>
            </w:pPr>
            <w:r>
              <w:rPr>
                <w:rFonts w:ascii="宋体" w:hAnsi="宋体" w:cs="Arial"/>
                <w:kern w:val="0"/>
                <w:sz w:val="18"/>
                <w:szCs w:val="18"/>
              </w:rPr>
              <w:t xml:space="preserve">  服务周期</w:t>
            </w:r>
          </w:p>
        </w:tc>
        <w:tc>
          <w:tcPr>
            <w:tcW w:w="1100" w:type="dxa"/>
            <w:tcBorders>
              <w:top w:val="nil"/>
              <w:left w:val="nil"/>
              <w:bottom w:val="single" w:color="000000" w:sz="4" w:space="0"/>
              <w:right w:val="single" w:color="000000" w:sz="4" w:space="0"/>
            </w:tcBorders>
            <w:vAlign w:val="center"/>
          </w:tcPr>
          <w:p w14:paraId="0E67E77C">
            <w:pPr>
              <w:widowControl/>
              <w:jc w:val="center"/>
              <w:rPr>
                <w:rFonts w:ascii="宋体" w:hAnsi="宋体" w:cs="Arial"/>
                <w:kern w:val="0"/>
                <w:sz w:val="18"/>
                <w:szCs w:val="18"/>
              </w:rPr>
            </w:pPr>
            <w:r>
              <w:rPr>
                <w:rFonts w:ascii="宋体" w:hAnsi="宋体" w:cs="Arial"/>
                <w:kern w:val="0"/>
                <w:sz w:val="18"/>
                <w:szCs w:val="18"/>
              </w:rPr>
              <w:t>★产品维护周期</w:t>
            </w:r>
          </w:p>
        </w:tc>
        <w:tc>
          <w:tcPr>
            <w:tcW w:w="8953" w:type="dxa"/>
            <w:tcBorders>
              <w:top w:val="nil"/>
              <w:left w:val="nil"/>
              <w:bottom w:val="single" w:color="000000" w:sz="4" w:space="0"/>
              <w:right w:val="single" w:color="000000" w:sz="4" w:space="0"/>
            </w:tcBorders>
            <w:vAlign w:val="center"/>
          </w:tcPr>
          <w:p w14:paraId="43283B64">
            <w:pPr>
              <w:widowControl/>
              <w:jc w:val="left"/>
              <w:rPr>
                <w:rFonts w:ascii="宋体" w:hAnsi="宋体" w:cs="Arial"/>
                <w:kern w:val="0"/>
                <w:sz w:val="18"/>
                <w:szCs w:val="18"/>
              </w:rPr>
            </w:pPr>
            <w:r>
              <w:rPr>
                <w:rFonts w:ascii="宋体" w:hAnsi="宋体" w:cs="Arial"/>
                <w:kern w:val="0"/>
                <w:sz w:val="18"/>
                <w:szCs w:val="18"/>
              </w:rPr>
              <w:t>产品自发布之日起至产品停止功能升级（包含不限于新特性、新硬件支持、问题修复、安全补丁等）之日止≥5 年</w:t>
            </w:r>
          </w:p>
        </w:tc>
      </w:tr>
      <w:tr w14:paraId="53D25D10">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084A5D9C">
            <w:pPr>
              <w:widowControl/>
              <w:jc w:val="center"/>
              <w:rPr>
                <w:rFonts w:ascii="宋体" w:hAnsi="宋体" w:cs="Arial"/>
                <w:kern w:val="0"/>
                <w:sz w:val="18"/>
                <w:szCs w:val="18"/>
              </w:rPr>
            </w:pPr>
            <w:r>
              <w:rPr>
                <w:rFonts w:ascii="宋体" w:hAnsi="宋体" w:cs="Arial"/>
                <w:kern w:val="0"/>
                <w:sz w:val="18"/>
                <w:szCs w:val="18"/>
              </w:rPr>
              <w:t xml:space="preserve">93 </w:t>
            </w:r>
          </w:p>
        </w:tc>
        <w:tc>
          <w:tcPr>
            <w:tcW w:w="1100" w:type="dxa"/>
            <w:tcBorders>
              <w:top w:val="nil"/>
              <w:left w:val="nil"/>
              <w:bottom w:val="single" w:color="000000" w:sz="4" w:space="0"/>
              <w:right w:val="single" w:color="000000" w:sz="4" w:space="0"/>
            </w:tcBorders>
            <w:vAlign w:val="center"/>
          </w:tcPr>
          <w:p w14:paraId="27F5D2A9">
            <w:pPr>
              <w:widowControl/>
              <w:jc w:val="center"/>
              <w:rPr>
                <w:rFonts w:ascii="宋体" w:hAnsi="宋体" w:cs="Arial"/>
                <w:kern w:val="0"/>
                <w:sz w:val="18"/>
                <w:szCs w:val="18"/>
              </w:rPr>
            </w:pPr>
            <w:r>
              <w:rPr>
                <w:rFonts w:ascii="宋体" w:hAnsi="宋体" w:cs="Arial"/>
                <w:kern w:val="0"/>
                <w:sz w:val="18"/>
                <w:szCs w:val="18"/>
              </w:rPr>
              <w:t>服务要求</w:t>
            </w:r>
          </w:p>
        </w:tc>
        <w:tc>
          <w:tcPr>
            <w:tcW w:w="1100" w:type="dxa"/>
            <w:vMerge w:val="continue"/>
            <w:tcBorders>
              <w:top w:val="nil"/>
              <w:left w:val="single" w:color="000000" w:sz="4" w:space="0"/>
              <w:bottom w:val="single" w:color="000000" w:sz="4" w:space="0"/>
              <w:right w:val="single" w:color="000000" w:sz="4" w:space="0"/>
            </w:tcBorders>
            <w:vAlign w:val="center"/>
          </w:tcPr>
          <w:p w14:paraId="1C9F5E96">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28FC5505">
            <w:pPr>
              <w:widowControl/>
              <w:jc w:val="center"/>
              <w:rPr>
                <w:rFonts w:ascii="宋体" w:hAnsi="宋体" w:cs="Arial"/>
                <w:kern w:val="0"/>
                <w:sz w:val="18"/>
                <w:szCs w:val="18"/>
              </w:rPr>
            </w:pPr>
            <w:r>
              <w:rPr>
                <w:rFonts w:ascii="宋体" w:hAnsi="宋体" w:cs="Arial"/>
                <w:kern w:val="0"/>
                <w:sz w:val="18"/>
                <w:szCs w:val="18"/>
              </w:rPr>
              <w:t>★产品延伸服务周期</w:t>
            </w:r>
          </w:p>
        </w:tc>
        <w:tc>
          <w:tcPr>
            <w:tcW w:w="8953" w:type="dxa"/>
            <w:tcBorders>
              <w:top w:val="nil"/>
              <w:left w:val="nil"/>
              <w:bottom w:val="single" w:color="000000" w:sz="4" w:space="0"/>
              <w:right w:val="single" w:color="000000" w:sz="4" w:space="0"/>
            </w:tcBorders>
            <w:vAlign w:val="center"/>
          </w:tcPr>
          <w:p w14:paraId="735660F4">
            <w:pPr>
              <w:widowControl/>
              <w:jc w:val="left"/>
              <w:rPr>
                <w:rFonts w:ascii="宋体" w:hAnsi="宋体" w:cs="Arial"/>
                <w:kern w:val="0"/>
                <w:sz w:val="18"/>
                <w:szCs w:val="18"/>
              </w:rPr>
            </w:pPr>
            <w:r>
              <w:rPr>
                <w:rFonts w:ascii="宋体" w:hAnsi="宋体" w:cs="Arial"/>
                <w:kern w:val="0"/>
                <w:sz w:val="18"/>
                <w:szCs w:val="18"/>
              </w:rPr>
              <w:t>产品停止功能升级之日起至产品停止功能维护（包括问题修复、安全补丁等）之日止≥4 年</w:t>
            </w:r>
          </w:p>
        </w:tc>
      </w:tr>
      <w:tr w14:paraId="7247A777">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4849025B">
            <w:pPr>
              <w:widowControl/>
              <w:jc w:val="center"/>
              <w:rPr>
                <w:rFonts w:ascii="宋体" w:hAnsi="宋体" w:cs="Arial"/>
                <w:kern w:val="0"/>
                <w:sz w:val="18"/>
                <w:szCs w:val="18"/>
              </w:rPr>
            </w:pPr>
            <w:r>
              <w:rPr>
                <w:rFonts w:ascii="宋体" w:hAnsi="宋体" w:cs="Arial"/>
                <w:kern w:val="0"/>
                <w:sz w:val="18"/>
                <w:szCs w:val="18"/>
              </w:rPr>
              <w:t xml:space="preserve">94 </w:t>
            </w:r>
          </w:p>
        </w:tc>
        <w:tc>
          <w:tcPr>
            <w:tcW w:w="1100" w:type="dxa"/>
            <w:tcBorders>
              <w:top w:val="nil"/>
              <w:left w:val="nil"/>
              <w:bottom w:val="single" w:color="000000" w:sz="4" w:space="0"/>
              <w:right w:val="single" w:color="000000" w:sz="4" w:space="0"/>
            </w:tcBorders>
            <w:vAlign w:val="center"/>
          </w:tcPr>
          <w:p w14:paraId="33EC4B34">
            <w:pPr>
              <w:widowControl/>
              <w:jc w:val="center"/>
              <w:rPr>
                <w:rFonts w:ascii="宋体" w:hAnsi="宋体" w:cs="Arial"/>
                <w:kern w:val="0"/>
                <w:sz w:val="18"/>
                <w:szCs w:val="18"/>
              </w:rPr>
            </w:pPr>
            <w:r>
              <w:rPr>
                <w:rFonts w:ascii="宋体" w:hAnsi="宋体" w:cs="Arial"/>
                <w:kern w:val="0"/>
                <w:sz w:val="18"/>
                <w:szCs w:val="18"/>
              </w:rPr>
              <w:t>服务要求</w:t>
            </w:r>
          </w:p>
        </w:tc>
        <w:tc>
          <w:tcPr>
            <w:tcW w:w="1100" w:type="dxa"/>
            <w:vMerge w:val="continue"/>
            <w:tcBorders>
              <w:top w:val="nil"/>
              <w:left w:val="single" w:color="000000" w:sz="4" w:space="0"/>
              <w:bottom w:val="single" w:color="000000" w:sz="4" w:space="0"/>
              <w:right w:val="single" w:color="000000" w:sz="4" w:space="0"/>
            </w:tcBorders>
            <w:vAlign w:val="center"/>
          </w:tcPr>
          <w:p w14:paraId="0B0DE42F">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2EF78DD5">
            <w:pPr>
              <w:widowControl/>
              <w:jc w:val="center"/>
              <w:rPr>
                <w:rFonts w:ascii="宋体" w:hAnsi="宋体" w:cs="Arial"/>
                <w:kern w:val="0"/>
                <w:sz w:val="18"/>
                <w:szCs w:val="18"/>
              </w:rPr>
            </w:pPr>
            <w:r>
              <w:rPr>
                <w:rFonts w:ascii="宋体" w:hAnsi="宋体" w:cs="Arial"/>
                <w:kern w:val="0"/>
                <w:sz w:val="18"/>
                <w:szCs w:val="18"/>
              </w:rPr>
              <w:t>★产品延伸安全服务周期</w:t>
            </w:r>
          </w:p>
        </w:tc>
        <w:tc>
          <w:tcPr>
            <w:tcW w:w="8953" w:type="dxa"/>
            <w:tcBorders>
              <w:top w:val="nil"/>
              <w:left w:val="nil"/>
              <w:bottom w:val="single" w:color="000000" w:sz="4" w:space="0"/>
              <w:right w:val="single" w:color="000000" w:sz="4" w:space="0"/>
            </w:tcBorders>
            <w:vAlign w:val="center"/>
          </w:tcPr>
          <w:p w14:paraId="6A08E50A">
            <w:pPr>
              <w:widowControl/>
              <w:jc w:val="left"/>
              <w:rPr>
                <w:rFonts w:ascii="宋体" w:hAnsi="宋体" w:cs="Arial"/>
                <w:kern w:val="0"/>
                <w:sz w:val="18"/>
                <w:szCs w:val="18"/>
              </w:rPr>
            </w:pPr>
            <w:r>
              <w:rPr>
                <w:rFonts w:ascii="宋体" w:hAnsi="宋体" w:cs="Arial"/>
                <w:kern w:val="0"/>
                <w:sz w:val="18"/>
                <w:szCs w:val="18"/>
              </w:rPr>
              <w:t>产品功能维护停止之日起至产品停止安全维护（包括中高风险漏洞修复）之日止≥2 年</w:t>
            </w:r>
          </w:p>
        </w:tc>
      </w:tr>
      <w:tr w14:paraId="692E3134">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41F08394">
            <w:pPr>
              <w:widowControl/>
              <w:jc w:val="center"/>
              <w:rPr>
                <w:rFonts w:ascii="宋体" w:hAnsi="宋体" w:cs="Arial"/>
                <w:kern w:val="0"/>
                <w:sz w:val="18"/>
                <w:szCs w:val="18"/>
              </w:rPr>
            </w:pPr>
            <w:r>
              <w:rPr>
                <w:rFonts w:ascii="宋体" w:hAnsi="宋体" w:cs="Arial"/>
                <w:kern w:val="0"/>
                <w:sz w:val="18"/>
                <w:szCs w:val="18"/>
              </w:rPr>
              <w:t xml:space="preserve">95 </w:t>
            </w:r>
          </w:p>
        </w:tc>
        <w:tc>
          <w:tcPr>
            <w:tcW w:w="1100" w:type="dxa"/>
            <w:tcBorders>
              <w:top w:val="nil"/>
              <w:left w:val="nil"/>
              <w:bottom w:val="single" w:color="000000" w:sz="4" w:space="0"/>
              <w:right w:val="single" w:color="000000" w:sz="4" w:space="0"/>
            </w:tcBorders>
            <w:vAlign w:val="center"/>
          </w:tcPr>
          <w:p w14:paraId="42F4AEA4">
            <w:pPr>
              <w:widowControl/>
              <w:jc w:val="center"/>
              <w:rPr>
                <w:rFonts w:ascii="宋体" w:hAnsi="宋体" w:cs="Arial"/>
                <w:kern w:val="0"/>
                <w:sz w:val="18"/>
                <w:szCs w:val="18"/>
              </w:rPr>
            </w:pPr>
            <w:r>
              <w:rPr>
                <w:rFonts w:ascii="宋体" w:hAnsi="宋体" w:cs="Arial"/>
                <w:kern w:val="0"/>
                <w:sz w:val="18"/>
                <w:szCs w:val="18"/>
              </w:rPr>
              <w:t>服务要求</w:t>
            </w:r>
          </w:p>
        </w:tc>
        <w:tc>
          <w:tcPr>
            <w:tcW w:w="1100" w:type="dxa"/>
            <w:vMerge w:val="continue"/>
            <w:tcBorders>
              <w:top w:val="nil"/>
              <w:left w:val="single" w:color="000000" w:sz="4" w:space="0"/>
              <w:bottom w:val="single" w:color="000000" w:sz="4" w:space="0"/>
              <w:right w:val="single" w:color="000000" w:sz="4" w:space="0"/>
            </w:tcBorders>
            <w:vAlign w:val="center"/>
          </w:tcPr>
          <w:p w14:paraId="3FDC964E">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0C7F082E">
            <w:pPr>
              <w:widowControl/>
              <w:jc w:val="center"/>
              <w:rPr>
                <w:rFonts w:ascii="宋体" w:hAnsi="宋体" w:cs="Arial"/>
                <w:kern w:val="0"/>
                <w:sz w:val="18"/>
                <w:szCs w:val="18"/>
              </w:rPr>
            </w:pPr>
            <w:r>
              <w:rPr>
                <w:rFonts w:ascii="宋体" w:hAnsi="宋体" w:cs="Arial"/>
                <w:kern w:val="0"/>
                <w:sz w:val="18"/>
                <w:szCs w:val="18"/>
              </w:rPr>
              <w:t>★售后服务最小保障期</w:t>
            </w:r>
          </w:p>
        </w:tc>
        <w:tc>
          <w:tcPr>
            <w:tcW w:w="8953" w:type="dxa"/>
            <w:tcBorders>
              <w:top w:val="nil"/>
              <w:left w:val="nil"/>
              <w:bottom w:val="single" w:color="000000" w:sz="4" w:space="0"/>
              <w:right w:val="single" w:color="000000" w:sz="4" w:space="0"/>
            </w:tcBorders>
            <w:vAlign w:val="center"/>
          </w:tcPr>
          <w:p w14:paraId="00697806">
            <w:pPr>
              <w:widowControl/>
              <w:jc w:val="left"/>
              <w:rPr>
                <w:rFonts w:ascii="宋体" w:hAnsi="宋体" w:cs="Arial"/>
                <w:kern w:val="0"/>
                <w:sz w:val="18"/>
                <w:szCs w:val="18"/>
              </w:rPr>
            </w:pPr>
            <w:r>
              <w:rPr>
                <w:rFonts w:ascii="宋体" w:hAnsi="宋体" w:cs="Arial"/>
                <w:kern w:val="0"/>
                <w:sz w:val="18"/>
                <w:szCs w:val="18"/>
              </w:rPr>
              <w:t>自销售之日起，产品售后服务周期≥6年</w:t>
            </w:r>
          </w:p>
        </w:tc>
      </w:tr>
      <w:tr w14:paraId="3C1B6793">
        <w:tblPrEx>
          <w:tblCellMar>
            <w:top w:w="0" w:type="dxa"/>
            <w:left w:w="108" w:type="dxa"/>
            <w:bottom w:w="0" w:type="dxa"/>
            <w:right w:w="108" w:type="dxa"/>
          </w:tblCellMar>
        </w:tblPrEx>
        <w:trPr>
          <w:trHeight w:val="1158" w:hRule="atLeast"/>
        </w:trPr>
        <w:tc>
          <w:tcPr>
            <w:tcW w:w="500" w:type="dxa"/>
            <w:tcBorders>
              <w:top w:val="nil"/>
              <w:left w:val="single" w:color="000000" w:sz="4" w:space="0"/>
              <w:bottom w:val="single" w:color="000000" w:sz="4" w:space="0"/>
              <w:right w:val="single" w:color="000000" w:sz="4" w:space="0"/>
            </w:tcBorders>
            <w:vAlign w:val="center"/>
          </w:tcPr>
          <w:p w14:paraId="2C228C7B">
            <w:pPr>
              <w:widowControl/>
              <w:jc w:val="center"/>
              <w:rPr>
                <w:rFonts w:ascii="宋体" w:hAnsi="宋体" w:cs="Arial"/>
                <w:kern w:val="0"/>
                <w:sz w:val="18"/>
                <w:szCs w:val="18"/>
              </w:rPr>
            </w:pPr>
            <w:r>
              <w:rPr>
                <w:rFonts w:ascii="宋体" w:hAnsi="宋体" w:cs="Arial"/>
                <w:kern w:val="0"/>
                <w:sz w:val="18"/>
                <w:szCs w:val="18"/>
              </w:rPr>
              <w:t xml:space="preserve">96 </w:t>
            </w:r>
          </w:p>
        </w:tc>
        <w:tc>
          <w:tcPr>
            <w:tcW w:w="1100" w:type="dxa"/>
            <w:tcBorders>
              <w:top w:val="nil"/>
              <w:left w:val="nil"/>
              <w:bottom w:val="single" w:color="000000" w:sz="4" w:space="0"/>
              <w:right w:val="single" w:color="000000" w:sz="4" w:space="0"/>
            </w:tcBorders>
            <w:vAlign w:val="center"/>
          </w:tcPr>
          <w:p w14:paraId="447424D3">
            <w:pPr>
              <w:widowControl/>
              <w:jc w:val="center"/>
              <w:rPr>
                <w:rFonts w:ascii="宋体" w:hAnsi="宋体" w:cs="Arial"/>
                <w:kern w:val="0"/>
                <w:sz w:val="18"/>
                <w:szCs w:val="18"/>
              </w:rPr>
            </w:pPr>
            <w:r>
              <w:rPr>
                <w:rFonts w:ascii="宋体" w:hAnsi="宋体" w:cs="Arial"/>
                <w:kern w:val="0"/>
                <w:sz w:val="18"/>
                <w:szCs w:val="18"/>
              </w:rPr>
              <w:t>服务要求</w:t>
            </w:r>
          </w:p>
        </w:tc>
        <w:tc>
          <w:tcPr>
            <w:tcW w:w="1100" w:type="dxa"/>
            <w:vMerge w:val="restart"/>
            <w:tcBorders>
              <w:top w:val="nil"/>
              <w:left w:val="single" w:color="000000" w:sz="4" w:space="0"/>
              <w:bottom w:val="single" w:color="000000" w:sz="4" w:space="0"/>
              <w:right w:val="single" w:color="000000" w:sz="4" w:space="0"/>
            </w:tcBorders>
            <w:vAlign w:val="center"/>
          </w:tcPr>
          <w:p w14:paraId="36B579D6">
            <w:pPr>
              <w:widowControl/>
              <w:jc w:val="center"/>
              <w:rPr>
                <w:rFonts w:ascii="宋体" w:hAnsi="宋体" w:cs="Arial"/>
                <w:kern w:val="0"/>
                <w:sz w:val="18"/>
                <w:szCs w:val="18"/>
              </w:rPr>
            </w:pPr>
            <w:r>
              <w:rPr>
                <w:rFonts w:ascii="宋体" w:hAnsi="宋体" w:cs="Arial"/>
                <w:kern w:val="0"/>
                <w:sz w:val="18"/>
                <w:szCs w:val="18"/>
              </w:rPr>
              <w:t>供应链与服    务保障</w:t>
            </w:r>
          </w:p>
        </w:tc>
        <w:tc>
          <w:tcPr>
            <w:tcW w:w="1100" w:type="dxa"/>
            <w:tcBorders>
              <w:top w:val="nil"/>
              <w:left w:val="nil"/>
              <w:bottom w:val="single" w:color="000000" w:sz="4" w:space="0"/>
              <w:right w:val="single" w:color="000000" w:sz="4" w:space="0"/>
            </w:tcBorders>
            <w:vAlign w:val="center"/>
          </w:tcPr>
          <w:p w14:paraId="6B0FCFA5">
            <w:pPr>
              <w:widowControl/>
              <w:jc w:val="center"/>
              <w:rPr>
                <w:rFonts w:ascii="宋体" w:hAnsi="宋体" w:cs="Arial"/>
                <w:kern w:val="0"/>
                <w:sz w:val="18"/>
                <w:szCs w:val="18"/>
              </w:rPr>
            </w:pPr>
            <w:r>
              <w:rPr>
                <w:rFonts w:ascii="宋体" w:hAnsi="宋体" w:cs="Arial"/>
                <w:kern w:val="0"/>
                <w:sz w:val="18"/>
                <w:szCs w:val="18"/>
              </w:rPr>
              <w:t>★供应链与服务保障基础要求</w:t>
            </w:r>
          </w:p>
        </w:tc>
        <w:tc>
          <w:tcPr>
            <w:tcW w:w="8953" w:type="dxa"/>
            <w:tcBorders>
              <w:top w:val="nil"/>
              <w:left w:val="nil"/>
              <w:bottom w:val="single" w:color="000000" w:sz="4" w:space="0"/>
              <w:right w:val="single" w:color="000000" w:sz="4" w:space="0"/>
            </w:tcBorders>
            <w:vAlign w:val="center"/>
          </w:tcPr>
          <w:p w14:paraId="589DE307">
            <w:pPr>
              <w:widowControl/>
              <w:jc w:val="left"/>
              <w:rPr>
                <w:rFonts w:ascii="宋体" w:hAnsi="宋体" w:cs="Arial"/>
                <w:kern w:val="0"/>
                <w:sz w:val="18"/>
                <w:szCs w:val="18"/>
              </w:rPr>
            </w:pPr>
            <w:r>
              <w:rPr>
                <w:rFonts w:ascii="宋体" w:hAnsi="宋体" w:cs="Arial"/>
                <w:kern w:val="0"/>
                <w:sz w:val="18"/>
                <w:szCs w:val="18"/>
              </w:rPr>
              <w:t xml:space="preserve"> a) 提供多种形式支持服务，包含电话、电子邮件、远程连接等； b) 提供技术支持服务，支持同城4h、异地 12h 响应要求，两个工作日解决问题，对于未能解决的问题和故障提供可行的升级方案； c) 提供培训材料、产品手册、培训视频等培训相关内容； d) 建立全国技术服务体系和服务团队，符合专业服务体系标准要求，提供原厂中文服务； e) 服务周期内支持版本免费升级； f) 开源产品对获得的社区源代码进行安全性和知识产权审查与管理； g) 提供数据库参数、慢 SQL 语句的性能优化指南，包含性能优化的具体措施、技巧、案例及建议等</w:t>
            </w:r>
          </w:p>
        </w:tc>
      </w:tr>
      <w:tr w14:paraId="03BFD842">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026138B0">
            <w:pPr>
              <w:widowControl/>
              <w:jc w:val="center"/>
              <w:rPr>
                <w:rFonts w:ascii="宋体" w:hAnsi="宋体" w:cs="Arial"/>
                <w:kern w:val="0"/>
                <w:sz w:val="18"/>
                <w:szCs w:val="18"/>
              </w:rPr>
            </w:pPr>
            <w:r>
              <w:rPr>
                <w:rFonts w:ascii="宋体" w:hAnsi="宋体" w:cs="Arial"/>
                <w:kern w:val="0"/>
                <w:sz w:val="18"/>
                <w:szCs w:val="18"/>
              </w:rPr>
              <w:t xml:space="preserve">97 </w:t>
            </w:r>
          </w:p>
        </w:tc>
        <w:tc>
          <w:tcPr>
            <w:tcW w:w="1100" w:type="dxa"/>
            <w:tcBorders>
              <w:top w:val="nil"/>
              <w:left w:val="nil"/>
              <w:bottom w:val="single" w:color="000000" w:sz="4" w:space="0"/>
              <w:right w:val="single" w:color="000000" w:sz="4" w:space="0"/>
            </w:tcBorders>
            <w:vAlign w:val="center"/>
          </w:tcPr>
          <w:p w14:paraId="66C879F3">
            <w:pPr>
              <w:widowControl/>
              <w:jc w:val="center"/>
              <w:rPr>
                <w:rFonts w:ascii="宋体" w:hAnsi="宋体" w:cs="Arial"/>
                <w:kern w:val="0"/>
                <w:sz w:val="18"/>
                <w:szCs w:val="18"/>
              </w:rPr>
            </w:pPr>
            <w:r>
              <w:rPr>
                <w:rFonts w:ascii="宋体" w:hAnsi="宋体" w:cs="Arial"/>
                <w:kern w:val="0"/>
                <w:sz w:val="18"/>
                <w:szCs w:val="18"/>
              </w:rPr>
              <w:t>服务要求</w:t>
            </w:r>
          </w:p>
        </w:tc>
        <w:tc>
          <w:tcPr>
            <w:tcW w:w="1100" w:type="dxa"/>
            <w:vMerge w:val="continue"/>
            <w:tcBorders>
              <w:top w:val="nil"/>
              <w:left w:val="single" w:color="000000" w:sz="4" w:space="0"/>
              <w:bottom w:val="single" w:color="000000" w:sz="4" w:space="0"/>
              <w:right w:val="single" w:color="000000" w:sz="4" w:space="0"/>
            </w:tcBorders>
            <w:vAlign w:val="center"/>
          </w:tcPr>
          <w:p w14:paraId="33FB3A18">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47F07AE4">
            <w:pPr>
              <w:widowControl/>
              <w:jc w:val="center"/>
              <w:rPr>
                <w:rFonts w:ascii="宋体" w:hAnsi="宋体" w:cs="Arial"/>
                <w:kern w:val="0"/>
                <w:sz w:val="18"/>
                <w:szCs w:val="18"/>
              </w:rPr>
            </w:pPr>
            <w:r>
              <w:rPr>
                <w:rFonts w:ascii="宋体" w:hAnsi="宋体" w:cs="Arial"/>
                <w:kern w:val="0"/>
                <w:sz w:val="18"/>
                <w:szCs w:val="18"/>
              </w:rPr>
              <w:t>定制服务</w:t>
            </w:r>
          </w:p>
        </w:tc>
        <w:tc>
          <w:tcPr>
            <w:tcW w:w="8953" w:type="dxa"/>
            <w:tcBorders>
              <w:top w:val="nil"/>
              <w:left w:val="nil"/>
              <w:bottom w:val="single" w:color="000000" w:sz="4" w:space="0"/>
              <w:right w:val="single" w:color="000000" w:sz="4" w:space="0"/>
            </w:tcBorders>
            <w:vAlign w:val="center"/>
          </w:tcPr>
          <w:p w14:paraId="6FA7644D">
            <w:pPr>
              <w:widowControl/>
              <w:jc w:val="left"/>
              <w:rPr>
                <w:rFonts w:ascii="宋体" w:hAnsi="宋体" w:cs="Arial"/>
                <w:kern w:val="0"/>
                <w:sz w:val="18"/>
                <w:szCs w:val="18"/>
              </w:rPr>
            </w:pPr>
            <w:r>
              <w:rPr>
                <w:rFonts w:ascii="宋体" w:hAnsi="宋体" w:cs="Arial"/>
                <w:kern w:val="0"/>
                <w:sz w:val="18"/>
                <w:szCs w:val="18"/>
              </w:rPr>
              <w:t>针对关键客户提供代码级定制优化服务</w:t>
            </w:r>
          </w:p>
        </w:tc>
      </w:tr>
      <w:tr w14:paraId="42A69EEB">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71D8203C">
            <w:pPr>
              <w:widowControl/>
              <w:jc w:val="center"/>
              <w:rPr>
                <w:rFonts w:ascii="宋体" w:hAnsi="宋体" w:cs="Arial"/>
                <w:kern w:val="0"/>
                <w:sz w:val="18"/>
                <w:szCs w:val="18"/>
              </w:rPr>
            </w:pPr>
            <w:r>
              <w:rPr>
                <w:rFonts w:ascii="宋体" w:hAnsi="宋体" w:cs="Arial"/>
                <w:kern w:val="0"/>
                <w:sz w:val="18"/>
                <w:szCs w:val="18"/>
              </w:rPr>
              <w:t xml:space="preserve">98 </w:t>
            </w:r>
          </w:p>
        </w:tc>
        <w:tc>
          <w:tcPr>
            <w:tcW w:w="1100" w:type="dxa"/>
            <w:tcBorders>
              <w:top w:val="nil"/>
              <w:left w:val="nil"/>
              <w:bottom w:val="single" w:color="000000" w:sz="4" w:space="0"/>
              <w:right w:val="single" w:color="000000" w:sz="4" w:space="0"/>
            </w:tcBorders>
            <w:vAlign w:val="center"/>
          </w:tcPr>
          <w:p w14:paraId="0B5989D9">
            <w:pPr>
              <w:widowControl/>
              <w:jc w:val="center"/>
              <w:rPr>
                <w:rFonts w:ascii="宋体" w:hAnsi="宋体" w:cs="Arial"/>
                <w:kern w:val="0"/>
                <w:sz w:val="18"/>
                <w:szCs w:val="18"/>
              </w:rPr>
            </w:pPr>
            <w:r>
              <w:rPr>
                <w:rFonts w:ascii="宋体" w:hAnsi="宋体" w:cs="Arial"/>
                <w:kern w:val="0"/>
                <w:sz w:val="18"/>
                <w:szCs w:val="18"/>
              </w:rPr>
              <w:t>服务要求</w:t>
            </w:r>
          </w:p>
        </w:tc>
        <w:tc>
          <w:tcPr>
            <w:tcW w:w="1100" w:type="dxa"/>
            <w:vMerge w:val="continue"/>
            <w:tcBorders>
              <w:top w:val="nil"/>
              <w:left w:val="single" w:color="000000" w:sz="4" w:space="0"/>
              <w:bottom w:val="single" w:color="000000" w:sz="4" w:space="0"/>
              <w:right w:val="single" w:color="000000" w:sz="4" w:space="0"/>
            </w:tcBorders>
            <w:vAlign w:val="center"/>
          </w:tcPr>
          <w:p w14:paraId="0509FA9D">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6AE01606">
            <w:pPr>
              <w:widowControl/>
              <w:jc w:val="center"/>
              <w:rPr>
                <w:rFonts w:ascii="宋体" w:hAnsi="宋体" w:cs="Arial"/>
                <w:kern w:val="0"/>
                <w:sz w:val="18"/>
                <w:szCs w:val="18"/>
              </w:rPr>
            </w:pPr>
            <w:r>
              <w:rPr>
                <w:rFonts w:ascii="宋体" w:hAnsi="宋体" w:cs="Arial"/>
                <w:kern w:val="0"/>
                <w:sz w:val="18"/>
                <w:szCs w:val="18"/>
              </w:rPr>
              <w:t>驻场服务</w:t>
            </w:r>
          </w:p>
        </w:tc>
        <w:tc>
          <w:tcPr>
            <w:tcW w:w="8953" w:type="dxa"/>
            <w:tcBorders>
              <w:top w:val="nil"/>
              <w:left w:val="nil"/>
              <w:bottom w:val="single" w:color="000000" w:sz="4" w:space="0"/>
              <w:right w:val="single" w:color="000000" w:sz="4" w:space="0"/>
            </w:tcBorders>
            <w:vAlign w:val="center"/>
          </w:tcPr>
          <w:p w14:paraId="31B9DED7">
            <w:pPr>
              <w:widowControl/>
              <w:jc w:val="left"/>
              <w:rPr>
                <w:rFonts w:ascii="宋体" w:hAnsi="宋体" w:cs="Arial"/>
                <w:kern w:val="0"/>
                <w:sz w:val="18"/>
                <w:szCs w:val="18"/>
              </w:rPr>
            </w:pPr>
            <w:r>
              <w:rPr>
                <w:rFonts w:ascii="宋体" w:hAnsi="宋体" w:cs="Arial"/>
                <w:kern w:val="0"/>
                <w:sz w:val="18"/>
                <w:szCs w:val="18"/>
              </w:rPr>
              <w:t>提供原厂团队驻场服务</w:t>
            </w:r>
          </w:p>
        </w:tc>
      </w:tr>
      <w:tr w14:paraId="7736EB49">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0D2B7BC9">
            <w:pPr>
              <w:widowControl/>
              <w:jc w:val="center"/>
              <w:rPr>
                <w:rFonts w:ascii="宋体" w:hAnsi="宋体" w:cs="Arial"/>
                <w:kern w:val="0"/>
                <w:sz w:val="18"/>
                <w:szCs w:val="18"/>
              </w:rPr>
            </w:pPr>
            <w:r>
              <w:rPr>
                <w:rFonts w:ascii="宋体" w:hAnsi="宋体" w:cs="Arial"/>
                <w:kern w:val="0"/>
                <w:sz w:val="18"/>
                <w:szCs w:val="18"/>
              </w:rPr>
              <w:t xml:space="preserve">99 </w:t>
            </w:r>
          </w:p>
        </w:tc>
        <w:tc>
          <w:tcPr>
            <w:tcW w:w="1100" w:type="dxa"/>
            <w:tcBorders>
              <w:top w:val="nil"/>
              <w:left w:val="nil"/>
              <w:bottom w:val="single" w:color="000000" w:sz="4" w:space="0"/>
              <w:right w:val="single" w:color="000000" w:sz="4" w:space="0"/>
            </w:tcBorders>
            <w:vAlign w:val="center"/>
          </w:tcPr>
          <w:p w14:paraId="58387C66">
            <w:pPr>
              <w:widowControl/>
              <w:jc w:val="center"/>
              <w:rPr>
                <w:rFonts w:ascii="宋体" w:hAnsi="宋体" w:cs="Arial"/>
                <w:kern w:val="0"/>
                <w:sz w:val="18"/>
                <w:szCs w:val="18"/>
              </w:rPr>
            </w:pPr>
            <w:r>
              <w:rPr>
                <w:rFonts w:ascii="宋体" w:hAnsi="宋体" w:cs="Arial"/>
                <w:kern w:val="0"/>
                <w:sz w:val="18"/>
                <w:szCs w:val="18"/>
              </w:rPr>
              <w:t>服务要求</w:t>
            </w:r>
          </w:p>
        </w:tc>
        <w:tc>
          <w:tcPr>
            <w:tcW w:w="1100" w:type="dxa"/>
            <w:vMerge w:val="continue"/>
            <w:tcBorders>
              <w:top w:val="nil"/>
              <w:left w:val="single" w:color="000000" w:sz="4" w:space="0"/>
              <w:bottom w:val="single" w:color="000000" w:sz="4" w:space="0"/>
              <w:right w:val="single" w:color="000000" w:sz="4" w:space="0"/>
            </w:tcBorders>
            <w:vAlign w:val="center"/>
          </w:tcPr>
          <w:p w14:paraId="0A093F9B">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1FD9DC07">
            <w:pPr>
              <w:widowControl/>
              <w:jc w:val="center"/>
              <w:rPr>
                <w:rFonts w:ascii="宋体" w:hAnsi="宋体" w:cs="Arial"/>
                <w:kern w:val="0"/>
                <w:sz w:val="18"/>
                <w:szCs w:val="18"/>
              </w:rPr>
            </w:pPr>
            <w:r>
              <w:rPr>
                <w:rFonts w:ascii="宋体" w:hAnsi="宋体" w:cs="Arial"/>
                <w:kern w:val="0"/>
                <w:sz w:val="18"/>
                <w:szCs w:val="18"/>
              </w:rPr>
              <w:t>在线反馈</w:t>
            </w:r>
          </w:p>
        </w:tc>
        <w:tc>
          <w:tcPr>
            <w:tcW w:w="8953" w:type="dxa"/>
            <w:tcBorders>
              <w:top w:val="nil"/>
              <w:left w:val="nil"/>
              <w:bottom w:val="single" w:color="000000" w:sz="4" w:space="0"/>
              <w:right w:val="single" w:color="000000" w:sz="4" w:space="0"/>
            </w:tcBorders>
            <w:vAlign w:val="center"/>
          </w:tcPr>
          <w:p w14:paraId="03DAAD4C">
            <w:pPr>
              <w:widowControl/>
              <w:jc w:val="left"/>
              <w:rPr>
                <w:rFonts w:ascii="宋体" w:hAnsi="宋体" w:cs="Arial"/>
                <w:kern w:val="0"/>
                <w:sz w:val="18"/>
                <w:szCs w:val="18"/>
              </w:rPr>
            </w:pPr>
            <w:r>
              <w:rPr>
                <w:rFonts w:ascii="宋体" w:hAnsi="宋体" w:cs="Arial"/>
                <w:kern w:val="0"/>
                <w:sz w:val="18"/>
                <w:szCs w:val="18"/>
              </w:rPr>
              <w:t>支持在线问题反馈</w:t>
            </w:r>
          </w:p>
        </w:tc>
      </w:tr>
      <w:tr w14:paraId="5B4ED307">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10ED55F2">
            <w:pPr>
              <w:widowControl/>
              <w:jc w:val="center"/>
              <w:rPr>
                <w:rFonts w:ascii="宋体" w:hAnsi="宋体" w:cs="Arial"/>
                <w:kern w:val="0"/>
                <w:sz w:val="18"/>
                <w:szCs w:val="18"/>
              </w:rPr>
            </w:pPr>
            <w:r>
              <w:rPr>
                <w:rFonts w:ascii="宋体" w:hAnsi="宋体" w:cs="Arial"/>
                <w:kern w:val="0"/>
                <w:sz w:val="18"/>
                <w:szCs w:val="18"/>
              </w:rPr>
              <w:t xml:space="preserve">100 </w:t>
            </w:r>
          </w:p>
        </w:tc>
        <w:tc>
          <w:tcPr>
            <w:tcW w:w="1100" w:type="dxa"/>
            <w:tcBorders>
              <w:top w:val="nil"/>
              <w:left w:val="nil"/>
              <w:bottom w:val="single" w:color="000000" w:sz="4" w:space="0"/>
              <w:right w:val="single" w:color="000000" w:sz="4" w:space="0"/>
            </w:tcBorders>
            <w:vAlign w:val="center"/>
          </w:tcPr>
          <w:p w14:paraId="7C06D34B">
            <w:pPr>
              <w:widowControl/>
              <w:jc w:val="center"/>
              <w:rPr>
                <w:rFonts w:ascii="宋体" w:hAnsi="宋体" w:cs="Arial"/>
                <w:kern w:val="0"/>
                <w:sz w:val="18"/>
                <w:szCs w:val="18"/>
              </w:rPr>
            </w:pPr>
            <w:r>
              <w:rPr>
                <w:rFonts w:ascii="宋体" w:hAnsi="宋体" w:cs="Arial"/>
                <w:kern w:val="0"/>
                <w:sz w:val="18"/>
                <w:szCs w:val="18"/>
              </w:rPr>
              <w:t>安全要求</w:t>
            </w:r>
          </w:p>
        </w:tc>
        <w:tc>
          <w:tcPr>
            <w:tcW w:w="1100" w:type="dxa"/>
            <w:tcBorders>
              <w:top w:val="nil"/>
              <w:left w:val="nil"/>
              <w:bottom w:val="single" w:color="000000" w:sz="4" w:space="0"/>
              <w:right w:val="single" w:color="000000" w:sz="4" w:space="0"/>
            </w:tcBorders>
            <w:vAlign w:val="center"/>
          </w:tcPr>
          <w:p w14:paraId="2CE4CECC">
            <w:pPr>
              <w:widowControl/>
              <w:jc w:val="center"/>
              <w:rPr>
                <w:rFonts w:ascii="宋体" w:hAnsi="宋体" w:cs="Arial"/>
                <w:kern w:val="0"/>
                <w:sz w:val="18"/>
                <w:szCs w:val="18"/>
              </w:rPr>
            </w:pPr>
            <w:r>
              <w:rPr>
                <w:rFonts w:ascii="宋体" w:hAnsi="宋体" w:cs="Arial"/>
                <w:kern w:val="0"/>
                <w:sz w:val="18"/>
                <w:szCs w:val="18"/>
              </w:rPr>
              <w:t>基本要求</w:t>
            </w:r>
          </w:p>
        </w:tc>
        <w:tc>
          <w:tcPr>
            <w:tcW w:w="1100" w:type="dxa"/>
            <w:tcBorders>
              <w:top w:val="nil"/>
              <w:left w:val="nil"/>
              <w:bottom w:val="single" w:color="000000" w:sz="4" w:space="0"/>
              <w:right w:val="single" w:color="000000" w:sz="4" w:space="0"/>
            </w:tcBorders>
            <w:vAlign w:val="center"/>
          </w:tcPr>
          <w:p w14:paraId="60DE26F9">
            <w:pPr>
              <w:widowControl/>
              <w:jc w:val="center"/>
              <w:rPr>
                <w:rFonts w:ascii="宋体" w:hAnsi="宋体" w:cs="Arial"/>
                <w:kern w:val="0"/>
                <w:sz w:val="18"/>
                <w:szCs w:val="18"/>
              </w:rPr>
            </w:pPr>
            <w:r>
              <w:rPr>
                <w:rFonts w:ascii="宋体" w:hAnsi="宋体" w:cs="Arial"/>
                <w:kern w:val="0"/>
                <w:sz w:val="18"/>
                <w:szCs w:val="18"/>
              </w:rPr>
              <w:t>★基本要求</w:t>
            </w:r>
          </w:p>
        </w:tc>
        <w:tc>
          <w:tcPr>
            <w:tcW w:w="8953" w:type="dxa"/>
            <w:tcBorders>
              <w:top w:val="nil"/>
              <w:left w:val="nil"/>
              <w:bottom w:val="single" w:color="000000" w:sz="4" w:space="0"/>
              <w:right w:val="single" w:color="000000" w:sz="4" w:space="0"/>
            </w:tcBorders>
            <w:vAlign w:val="center"/>
          </w:tcPr>
          <w:p w14:paraId="458A0782">
            <w:pPr>
              <w:widowControl/>
              <w:jc w:val="left"/>
              <w:rPr>
                <w:rFonts w:ascii="宋体" w:hAnsi="宋体" w:cs="Arial"/>
                <w:kern w:val="0"/>
                <w:sz w:val="18"/>
                <w:szCs w:val="18"/>
              </w:rPr>
            </w:pPr>
            <w:r>
              <w:rPr>
                <w:rFonts w:ascii="宋体" w:hAnsi="宋体" w:cs="Arial"/>
                <w:kern w:val="0"/>
                <w:sz w:val="18"/>
                <w:szCs w:val="18"/>
              </w:rPr>
              <w:t>数据库应当符合安全可靠测评要求</w:t>
            </w:r>
          </w:p>
        </w:tc>
      </w:tr>
      <w:tr w14:paraId="7CA12EF9">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7A029459">
            <w:pPr>
              <w:widowControl/>
              <w:jc w:val="center"/>
              <w:rPr>
                <w:rFonts w:ascii="宋体" w:hAnsi="宋体" w:cs="Arial"/>
                <w:kern w:val="0"/>
                <w:sz w:val="18"/>
                <w:szCs w:val="18"/>
              </w:rPr>
            </w:pPr>
            <w:r>
              <w:rPr>
                <w:rFonts w:ascii="宋体" w:hAnsi="宋体" w:cs="Arial"/>
                <w:kern w:val="0"/>
                <w:sz w:val="18"/>
                <w:szCs w:val="18"/>
              </w:rPr>
              <w:t xml:space="preserve">101 </w:t>
            </w:r>
          </w:p>
        </w:tc>
        <w:tc>
          <w:tcPr>
            <w:tcW w:w="1100" w:type="dxa"/>
            <w:tcBorders>
              <w:top w:val="nil"/>
              <w:left w:val="nil"/>
              <w:bottom w:val="single" w:color="000000" w:sz="4" w:space="0"/>
              <w:right w:val="single" w:color="000000" w:sz="4" w:space="0"/>
            </w:tcBorders>
            <w:vAlign w:val="center"/>
          </w:tcPr>
          <w:p w14:paraId="50020E3F">
            <w:pPr>
              <w:widowControl/>
              <w:jc w:val="center"/>
              <w:rPr>
                <w:rFonts w:ascii="宋体" w:hAnsi="宋体" w:cs="Arial"/>
                <w:kern w:val="0"/>
                <w:sz w:val="18"/>
                <w:szCs w:val="18"/>
              </w:rPr>
            </w:pPr>
            <w:r>
              <w:rPr>
                <w:rFonts w:ascii="宋体" w:hAnsi="宋体" w:cs="Arial"/>
                <w:kern w:val="0"/>
                <w:sz w:val="18"/>
                <w:szCs w:val="18"/>
              </w:rPr>
              <w:t>安全要求</w:t>
            </w:r>
          </w:p>
        </w:tc>
        <w:tc>
          <w:tcPr>
            <w:tcW w:w="1100" w:type="dxa"/>
            <w:vMerge w:val="restart"/>
            <w:tcBorders>
              <w:top w:val="nil"/>
              <w:left w:val="single" w:color="000000" w:sz="4" w:space="0"/>
              <w:bottom w:val="single" w:color="000000" w:sz="4" w:space="0"/>
              <w:right w:val="single" w:color="000000" w:sz="4" w:space="0"/>
            </w:tcBorders>
            <w:vAlign w:val="center"/>
          </w:tcPr>
          <w:p w14:paraId="79E960B9">
            <w:pPr>
              <w:widowControl/>
              <w:jc w:val="center"/>
              <w:rPr>
                <w:rFonts w:ascii="宋体" w:hAnsi="宋体" w:cs="Arial"/>
                <w:kern w:val="0"/>
                <w:sz w:val="18"/>
                <w:szCs w:val="18"/>
              </w:rPr>
            </w:pPr>
            <w:r>
              <w:rPr>
                <w:rFonts w:ascii="宋体" w:hAnsi="宋体" w:cs="Arial"/>
                <w:kern w:val="0"/>
                <w:sz w:val="18"/>
                <w:szCs w:val="18"/>
              </w:rPr>
              <w:t>基础安全</w:t>
            </w:r>
          </w:p>
        </w:tc>
        <w:tc>
          <w:tcPr>
            <w:tcW w:w="1100" w:type="dxa"/>
            <w:tcBorders>
              <w:top w:val="nil"/>
              <w:left w:val="nil"/>
              <w:bottom w:val="single" w:color="000000" w:sz="4" w:space="0"/>
              <w:right w:val="single" w:color="000000" w:sz="4" w:space="0"/>
            </w:tcBorders>
            <w:vAlign w:val="center"/>
          </w:tcPr>
          <w:p w14:paraId="0930913F">
            <w:pPr>
              <w:widowControl/>
              <w:jc w:val="center"/>
              <w:rPr>
                <w:rFonts w:ascii="宋体" w:hAnsi="宋体" w:cs="Arial"/>
                <w:kern w:val="0"/>
                <w:sz w:val="18"/>
                <w:szCs w:val="18"/>
              </w:rPr>
            </w:pPr>
            <w:r>
              <w:rPr>
                <w:rFonts w:ascii="宋体" w:hAnsi="宋体" w:cs="Arial"/>
                <w:kern w:val="0"/>
                <w:sz w:val="18"/>
                <w:szCs w:val="18"/>
              </w:rPr>
              <w:t>安全架构</w:t>
            </w:r>
          </w:p>
        </w:tc>
        <w:tc>
          <w:tcPr>
            <w:tcW w:w="8953" w:type="dxa"/>
            <w:tcBorders>
              <w:top w:val="nil"/>
              <w:left w:val="nil"/>
              <w:bottom w:val="single" w:color="000000" w:sz="4" w:space="0"/>
              <w:right w:val="single" w:color="000000" w:sz="4" w:space="0"/>
            </w:tcBorders>
            <w:vAlign w:val="center"/>
          </w:tcPr>
          <w:p w14:paraId="2740D111">
            <w:pPr>
              <w:widowControl/>
              <w:jc w:val="left"/>
              <w:rPr>
                <w:rFonts w:ascii="宋体" w:hAnsi="宋体" w:cs="Arial"/>
                <w:kern w:val="0"/>
                <w:sz w:val="18"/>
                <w:szCs w:val="18"/>
              </w:rPr>
            </w:pPr>
            <w:r>
              <w:rPr>
                <w:rFonts w:ascii="宋体" w:hAnsi="宋体" w:cs="Arial"/>
                <w:kern w:val="0"/>
                <w:sz w:val="18"/>
                <w:szCs w:val="18"/>
              </w:rPr>
              <w:t>将系统管理员分为数据库管理员、数据库安全员和数据库审计员三种类型</w:t>
            </w:r>
          </w:p>
        </w:tc>
      </w:tr>
      <w:tr w14:paraId="00BF30B7">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4E93F055">
            <w:pPr>
              <w:widowControl/>
              <w:jc w:val="center"/>
              <w:rPr>
                <w:rFonts w:ascii="宋体" w:hAnsi="宋体" w:cs="Arial"/>
                <w:kern w:val="0"/>
                <w:sz w:val="18"/>
                <w:szCs w:val="18"/>
              </w:rPr>
            </w:pPr>
            <w:r>
              <w:rPr>
                <w:rFonts w:ascii="宋体" w:hAnsi="宋体" w:cs="Arial"/>
                <w:kern w:val="0"/>
                <w:sz w:val="18"/>
                <w:szCs w:val="18"/>
              </w:rPr>
              <w:t xml:space="preserve">102 </w:t>
            </w:r>
          </w:p>
        </w:tc>
        <w:tc>
          <w:tcPr>
            <w:tcW w:w="1100" w:type="dxa"/>
            <w:tcBorders>
              <w:top w:val="nil"/>
              <w:left w:val="nil"/>
              <w:bottom w:val="single" w:color="000000" w:sz="4" w:space="0"/>
              <w:right w:val="single" w:color="000000" w:sz="4" w:space="0"/>
            </w:tcBorders>
            <w:vAlign w:val="center"/>
          </w:tcPr>
          <w:p w14:paraId="1C77B9AF">
            <w:pPr>
              <w:widowControl/>
              <w:jc w:val="center"/>
              <w:rPr>
                <w:rFonts w:ascii="宋体" w:hAnsi="宋体" w:cs="Arial"/>
                <w:kern w:val="0"/>
                <w:sz w:val="18"/>
                <w:szCs w:val="18"/>
              </w:rPr>
            </w:pPr>
            <w:r>
              <w:rPr>
                <w:rFonts w:ascii="宋体" w:hAnsi="宋体" w:cs="Arial"/>
                <w:kern w:val="0"/>
                <w:sz w:val="18"/>
                <w:szCs w:val="18"/>
              </w:rPr>
              <w:t>安全要求</w:t>
            </w:r>
          </w:p>
        </w:tc>
        <w:tc>
          <w:tcPr>
            <w:tcW w:w="1100" w:type="dxa"/>
            <w:vMerge w:val="continue"/>
            <w:tcBorders>
              <w:top w:val="nil"/>
              <w:left w:val="single" w:color="000000" w:sz="4" w:space="0"/>
              <w:bottom w:val="single" w:color="000000" w:sz="4" w:space="0"/>
              <w:right w:val="single" w:color="000000" w:sz="4" w:space="0"/>
            </w:tcBorders>
            <w:vAlign w:val="center"/>
          </w:tcPr>
          <w:p w14:paraId="381B2905">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0501725F">
            <w:pPr>
              <w:widowControl/>
              <w:jc w:val="center"/>
              <w:rPr>
                <w:rFonts w:ascii="宋体" w:hAnsi="宋体" w:cs="Arial"/>
                <w:kern w:val="0"/>
                <w:sz w:val="18"/>
                <w:szCs w:val="18"/>
              </w:rPr>
            </w:pPr>
            <w:r>
              <w:rPr>
                <w:rFonts w:ascii="宋体" w:hAnsi="宋体" w:cs="Arial"/>
                <w:kern w:val="0"/>
                <w:sz w:val="18"/>
                <w:szCs w:val="18"/>
              </w:rPr>
              <w:t>★漏洞管理</w:t>
            </w:r>
          </w:p>
        </w:tc>
        <w:tc>
          <w:tcPr>
            <w:tcW w:w="8953" w:type="dxa"/>
            <w:tcBorders>
              <w:top w:val="nil"/>
              <w:left w:val="nil"/>
              <w:bottom w:val="single" w:color="000000" w:sz="4" w:space="0"/>
              <w:right w:val="single" w:color="000000" w:sz="4" w:space="0"/>
            </w:tcBorders>
            <w:vAlign w:val="center"/>
          </w:tcPr>
          <w:p w14:paraId="238D59EA">
            <w:pPr>
              <w:widowControl/>
              <w:jc w:val="left"/>
              <w:rPr>
                <w:rFonts w:ascii="宋体" w:hAnsi="宋体" w:cs="Arial"/>
                <w:kern w:val="0"/>
                <w:sz w:val="18"/>
                <w:szCs w:val="18"/>
              </w:rPr>
            </w:pPr>
            <w:r>
              <w:rPr>
                <w:rFonts w:ascii="宋体" w:hAnsi="宋体" w:cs="Arial"/>
                <w:kern w:val="0"/>
                <w:sz w:val="18"/>
                <w:szCs w:val="18"/>
              </w:rPr>
              <w:t>建立漏洞管理机制，及时通过邮件、网站等方式将安全漏洞告知用户，并提供安全补丁对漏洞进行修复</w:t>
            </w:r>
          </w:p>
        </w:tc>
      </w:tr>
      <w:tr w14:paraId="02A32E06">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41BC93A1">
            <w:pPr>
              <w:widowControl/>
              <w:jc w:val="center"/>
              <w:rPr>
                <w:rFonts w:ascii="宋体" w:hAnsi="宋体" w:cs="Arial"/>
                <w:kern w:val="0"/>
                <w:sz w:val="18"/>
                <w:szCs w:val="18"/>
              </w:rPr>
            </w:pPr>
            <w:r>
              <w:rPr>
                <w:rFonts w:ascii="宋体" w:hAnsi="宋体" w:cs="Arial"/>
                <w:kern w:val="0"/>
                <w:sz w:val="18"/>
                <w:szCs w:val="18"/>
              </w:rPr>
              <w:t xml:space="preserve">103 </w:t>
            </w:r>
          </w:p>
        </w:tc>
        <w:tc>
          <w:tcPr>
            <w:tcW w:w="1100" w:type="dxa"/>
            <w:tcBorders>
              <w:top w:val="nil"/>
              <w:left w:val="nil"/>
              <w:bottom w:val="single" w:color="000000" w:sz="4" w:space="0"/>
              <w:right w:val="single" w:color="000000" w:sz="4" w:space="0"/>
            </w:tcBorders>
            <w:vAlign w:val="center"/>
          </w:tcPr>
          <w:p w14:paraId="7A785556">
            <w:pPr>
              <w:widowControl/>
              <w:jc w:val="center"/>
              <w:rPr>
                <w:rFonts w:ascii="宋体" w:hAnsi="宋体" w:cs="Arial"/>
                <w:kern w:val="0"/>
                <w:sz w:val="18"/>
                <w:szCs w:val="18"/>
              </w:rPr>
            </w:pPr>
            <w:r>
              <w:rPr>
                <w:rFonts w:ascii="宋体" w:hAnsi="宋体" w:cs="Arial"/>
                <w:kern w:val="0"/>
                <w:sz w:val="18"/>
                <w:szCs w:val="18"/>
              </w:rPr>
              <w:t>安全要求</w:t>
            </w:r>
          </w:p>
        </w:tc>
        <w:tc>
          <w:tcPr>
            <w:tcW w:w="1100" w:type="dxa"/>
            <w:vMerge w:val="continue"/>
            <w:tcBorders>
              <w:top w:val="nil"/>
              <w:left w:val="single" w:color="000000" w:sz="4" w:space="0"/>
              <w:bottom w:val="single" w:color="000000" w:sz="4" w:space="0"/>
              <w:right w:val="single" w:color="000000" w:sz="4" w:space="0"/>
            </w:tcBorders>
            <w:vAlign w:val="center"/>
          </w:tcPr>
          <w:p w14:paraId="756EC557">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3595999C">
            <w:pPr>
              <w:widowControl/>
              <w:jc w:val="center"/>
              <w:rPr>
                <w:rFonts w:ascii="宋体" w:hAnsi="宋体" w:cs="Arial"/>
                <w:kern w:val="0"/>
                <w:sz w:val="18"/>
                <w:szCs w:val="18"/>
              </w:rPr>
            </w:pPr>
            <w:r>
              <w:rPr>
                <w:rFonts w:ascii="宋体" w:hAnsi="宋体" w:cs="Arial"/>
                <w:kern w:val="0"/>
                <w:sz w:val="18"/>
                <w:szCs w:val="18"/>
              </w:rPr>
              <w:t>★身份鉴别及访问控制</w:t>
            </w:r>
          </w:p>
        </w:tc>
        <w:tc>
          <w:tcPr>
            <w:tcW w:w="8953" w:type="dxa"/>
            <w:tcBorders>
              <w:top w:val="nil"/>
              <w:left w:val="nil"/>
              <w:bottom w:val="single" w:color="000000" w:sz="4" w:space="0"/>
              <w:right w:val="single" w:color="000000" w:sz="4" w:space="0"/>
            </w:tcBorders>
            <w:vAlign w:val="center"/>
          </w:tcPr>
          <w:p w14:paraId="4732CB04">
            <w:pPr>
              <w:widowControl/>
              <w:jc w:val="left"/>
              <w:rPr>
                <w:rFonts w:ascii="宋体" w:hAnsi="宋体" w:cs="Arial"/>
                <w:kern w:val="0"/>
                <w:sz w:val="18"/>
                <w:szCs w:val="18"/>
              </w:rPr>
            </w:pPr>
            <w:r>
              <w:rPr>
                <w:rFonts w:ascii="宋体" w:hAnsi="宋体" w:cs="Arial"/>
                <w:kern w:val="0"/>
                <w:sz w:val="18"/>
                <w:szCs w:val="18"/>
              </w:rPr>
              <w:t>提供身份鉴别及访问控制，加解密的密码要求符合GM/T0028 的相关规定</w:t>
            </w:r>
          </w:p>
        </w:tc>
      </w:tr>
      <w:tr w14:paraId="787C4703">
        <w:tblPrEx>
          <w:tblCellMar>
            <w:top w:w="0" w:type="dxa"/>
            <w:left w:w="108" w:type="dxa"/>
            <w:bottom w:w="0" w:type="dxa"/>
            <w:right w:w="108" w:type="dxa"/>
          </w:tblCellMar>
        </w:tblPrEx>
        <w:trPr>
          <w:trHeight w:val="695" w:hRule="atLeast"/>
        </w:trPr>
        <w:tc>
          <w:tcPr>
            <w:tcW w:w="500" w:type="dxa"/>
            <w:tcBorders>
              <w:top w:val="nil"/>
              <w:left w:val="single" w:color="000000" w:sz="4" w:space="0"/>
              <w:bottom w:val="single" w:color="000000" w:sz="4" w:space="0"/>
              <w:right w:val="single" w:color="000000" w:sz="4" w:space="0"/>
            </w:tcBorders>
            <w:vAlign w:val="center"/>
          </w:tcPr>
          <w:p w14:paraId="4929604A">
            <w:pPr>
              <w:widowControl/>
              <w:jc w:val="center"/>
              <w:rPr>
                <w:rFonts w:ascii="宋体" w:hAnsi="宋体" w:cs="Arial"/>
                <w:kern w:val="0"/>
                <w:sz w:val="18"/>
                <w:szCs w:val="18"/>
              </w:rPr>
            </w:pPr>
            <w:r>
              <w:rPr>
                <w:rFonts w:ascii="宋体" w:hAnsi="宋体" w:cs="Arial"/>
                <w:kern w:val="0"/>
                <w:sz w:val="18"/>
                <w:szCs w:val="18"/>
              </w:rPr>
              <w:t xml:space="preserve">104 </w:t>
            </w:r>
          </w:p>
        </w:tc>
        <w:tc>
          <w:tcPr>
            <w:tcW w:w="1100" w:type="dxa"/>
            <w:tcBorders>
              <w:top w:val="nil"/>
              <w:left w:val="nil"/>
              <w:bottom w:val="single" w:color="000000" w:sz="4" w:space="0"/>
              <w:right w:val="single" w:color="000000" w:sz="4" w:space="0"/>
            </w:tcBorders>
            <w:vAlign w:val="center"/>
          </w:tcPr>
          <w:p w14:paraId="535FD4FF">
            <w:pPr>
              <w:widowControl/>
              <w:jc w:val="center"/>
              <w:rPr>
                <w:rFonts w:ascii="宋体" w:hAnsi="宋体" w:cs="Arial"/>
                <w:kern w:val="0"/>
                <w:sz w:val="18"/>
                <w:szCs w:val="18"/>
              </w:rPr>
            </w:pPr>
            <w:r>
              <w:rPr>
                <w:rFonts w:ascii="宋体" w:hAnsi="宋体" w:cs="Arial"/>
                <w:kern w:val="0"/>
                <w:sz w:val="18"/>
                <w:szCs w:val="18"/>
              </w:rPr>
              <w:t>安全要求</w:t>
            </w:r>
          </w:p>
        </w:tc>
        <w:tc>
          <w:tcPr>
            <w:tcW w:w="1100" w:type="dxa"/>
            <w:vMerge w:val="restart"/>
            <w:tcBorders>
              <w:top w:val="nil"/>
              <w:left w:val="single" w:color="000000" w:sz="4" w:space="0"/>
              <w:bottom w:val="single" w:color="000000" w:sz="4" w:space="0"/>
              <w:right w:val="single" w:color="000000" w:sz="4" w:space="0"/>
            </w:tcBorders>
            <w:vAlign w:val="center"/>
          </w:tcPr>
          <w:p w14:paraId="1E7B0A83">
            <w:pPr>
              <w:widowControl/>
              <w:jc w:val="center"/>
              <w:rPr>
                <w:rFonts w:ascii="宋体" w:hAnsi="宋体" w:cs="Arial"/>
                <w:kern w:val="0"/>
                <w:sz w:val="18"/>
                <w:szCs w:val="18"/>
              </w:rPr>
            </w:pPr>
            <w:r>
              <w:rPr>
                <w:rFonts w:ascii="宋体" w:hAnsi="宋体" w:cs="Arial"/>
                <w:kern w:val="0"/>
                <w:sz w:val="18"/>
                <w:szCs w:val="18"/>
              </w:rPr>
              <w:t>增强安全</w:t>
            </w:r>
          </w:p>
        </w:tc>
        <w:tc>
          <w:tcPr>
            <w:tcW w:w="1100" w:type="dxa"/>
            <w:tcBorders>
              <w:top w:val="nil"/>
              <w:left w:val="nil"/>
              <w:bottom w:val="single" w:color="000000" w:sz="4" w:space="0"/>
              <w:right w:val="single" w:color="000000" w:sz="4" w:space="0"/>
            </w:tcBorders>
            <w:vAlign w:val="center"/>
          </w:tcPr>
          <w:p w14:paraId="714F0F31">
            <w:pPr>
              <w:widowControl/>
              <w:jc w:val="center"/>
              <w:rPr>
                <w:rFonts w:ascii="宋体" w:hAnsi="宋体" w:cs="Arial"/>
                <w:kern w:val="0"/>
                <w:sz w:val="18"/>
                <w:szCs w:val="18"/>
              </w:rPr>
            </w:pPr>
            <w:r>
              <w:rPr>
                <w:rFonts w:ascii="宋体" w:hAnsi="宋体" w:cs="Arial"/>
                <w:kern w:val="0"/>
                <w:sz w:val="18"/>
                <w:szCs w:val="18"/>
              </w:rPr>
              <w:t>防篡改</w:t>
            </w:r>
          </w:p>
        </w:tc>
        <w:tc>
          <w:tcPr>
            <w:tcW w:w="8953" w:type="dxa"/>
            <w:tcBorders>
              <w:top w:val="nil"/>
              <w:left w:val="nil"/>
              <w:bottom w:val="single" w:color="000000" w:sz="4" w:space="0"/>
              <w:right w:val="single" w:color="000000" w:sz="4" w:space="0"/>
            </w:tcBorders>
            <w:vAlign w:val="center"/>
          </w:tcPr>
          <w:p w14:paraId="0106AF35">
            <w:pPr>
              <w:widowControl/>
              <w:jc w:val="left"/>
              <w:rPr>
                <w:rFonts w:ascii="宋体" w:hAnsi="宋体" w:cs="Arial"/>
                <w:kern w:val="0"/>
                <w:sz w:val="18"/>
                <w:szCs w:val="18"/>
              </w:rPr>
            </w:pPr>
            <w:r>
              <w:rPr>
                <w:rFonts w:ascii="宋体" w:hAnsi="宋体" w:cs="Arial"/>
                <w:kern w:val="0"/>
                <w:sz w:val="18"/>
                <w:szCs w:val="18"/>
              </w:rPr>
              <w:t xml:space="preserve"> a) 支持对指定的表开启防篡改能力，开启后，对重要数据的增、删、改操作，记录篡改校验信息，并提供篡改校验能力； b) 支持对指定的表开启追溯能力，开启后，对数据的变更具有全向追溯能力，能够记录数据变更的历史信息以及相应的操作记录</w:t>
            </w:r>
          </w:p>
        </w:tc>
      </w:tr>
      <w:tr w14:paraId="66AE17D7">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52BD3839">
            <w:pPr>
              <w:widowControl/>
              <w:jc w:val="center"/>
              <w:rPr>
                <w:rFonts w:ascii="宋体" w:hAnsi="宋体" w:cs="Arial"/>
                <w:kern w:val="0"/>
                <w:sz w:val="18"/>
                <w:szCs w:val="18"/>
              </w:rPr>
            </w:pPr>
            <w:r>
              <w:rPr>
                <w:rFonts w:ascii="宋体" w:hAnsi="宋体" w:cs="Arial"/>
                <w:kern w:val="0"/>
                <w:sz w:val="18"/>
                <w:szCs w:val="18"/>
              </w:rPr>
              <w:t xml:space="preserve">105 </w:t>
            </w:r>
          </w:p>
        </w:tc>
        <w:tc>
          <w:tcPr>
            <w:tcW w:w="1100" w:type="dxa"/>
            <w:tcBorders>
              <w:top w:val="nil"/>
              <w:left w:val="nil"/>
              <w:bottom w:val="single" w:color="000000" w:sz="4" w:space="0"/>
              <w:right w:val="single" w:color="000000" w:sz="4" w:space="0"/>
            </w:tcBorders>
            <w:vAlign w:val="center"/>
          </w:tcPr>
          <w:p w14:paraId="4022CAEF">
            <w:pPr>
              <w:widowControl/>
              <w:jc w:val="center"/>
              <w:rPr>
                <w:rFonts w:ascii="宋体" w:hAnsi="宋体" w:cs="Arial"/>
                <w:kern w:val="0"/>
                <w:sz w:val="18"/>
                <w:szCs w:val="18"/>
              </w:rPr>
            </w:pPr>
            <w:r>
              <w:rPr>
                <w:rFonts w:ascii="宋体" w:hAnsi="宋体" w:cs="Arial"/>
                <w:kern w:val="0"/>
                <w:sz w:val="18"/>
                <w:szCs w:val="18"/>
              </w:rPr>
              <w:t>安全要求</w:t>
            </w:r>
          </w:p>
        </w:tc>
        <w:tc>
          <w:tcPr>
            <w:tcW w:w="1100" w:type="dxa"/>
            <w:vMerge w:val="continue"/>
            <w:tcBorders>
              <w:top w:val="nil"/>
              <w:left w:val="single" w:color="000000" w:sz="4" w:space="0"/>
              <w:bottom w:val="single" w:color="000000" w:sz="4" w:space="0"/>
              <w:right w:val="single" w:color="000000" w:sz="4" w:space="0"/>
            </w:tcBorders>
            <w:vAlign w:val="center"/>
          </w:tcPr>
          <w:p w14:paraId="11CFFFB4">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73915DCD">
            <w:pPr>
              <w:widowControl/>
              <w:jc w:val="center"/>
              <w:rPr>
                <w:rFonts w:ascii="宋体" w:hAnsi="宋体" w:cs="Arial"/>
                <w:kern w:val="0"/>
                <w:sz w:val="18"/>
                <w:szCs w:val="18"/>
              </w:rPr>
            </w:pPr>
            <w:r>
              <w:rPr>
                <w:rFonts w:ascii="宋体" w:hAnsi="宋体" w:cs="Arial"/>
                <w:kern w:val="0"/>
                <w:sz w:val="18"/>
                <w:szCs w:val="18"/>
              </w:rPr>
              <w:t>全密态</w:t>
            </w:r>
          </w:p>
        </w:tc>
        <w:tc>
          <w:tcPr>
            <w:tcW w:w="8953" w:type="dxa"/>
            <w:tcBorders>
              <w:top w:val="nil"/>
              <w:left w:val="nil"/>
              <w:bottom w:val="single" w:color="000000" w:sz="4" w:space="0"/>
              <w:right w:val="single" w:color="000000" w:sz="4" w:space="0"/>
            </w:tcBorders>
            <w:vAlign w:val="center"/>
          </w:tcPr>
          <w:p w14:paraId="2AC87144">
            <w:pPr>
              <w:widowControl/>
              <w:jc w:val="left"/>
              <w:rPr>
                <w:rFonts w:ascii="宋体" w:hAnsi="宋体" w:cs="Arial"/>
                <w:kern w:val="0"/>
                <w:sz w:val="18"/>
                <w:szCs w:val="18"/>
              </w:rPr>
            </w:pPr>
            <w:r>
              <w:rPr>
                <w:rFonts w:ascii="宋体" w:hAnsi="宋体" w:cs="Arial"/>
                <w:kern w:val="0"/>
                <w:sz w:val="18"/>
                <w:szCs w:val="18"/>
              </w:rPr>
              <w:t>支持全密态的等值、非等值查询能力</w:t>
            </w:r>
          </w:p>
        </w:tc>
      </w:tr>
      <w:tr w14:paraId="117E4571">
        <w:tblPrEx>
          <w:tblCellMar>
            <w:top w:w="0" w:type="dxa"/>
            <w:left w:w="108" w:type="dxa"/>
            <w:bottom w:w="0" w:type="dxa"/>
            <w:right w:w="108" w:type="dxa"/>
          </w:tblCellMar>
        </w:tblPrEx>
        <w:trPr>
          <w:trHeight w:val="463" w:hRule="atLeast"/>
        </w:trPr>
        <w:tc>
          <w:tcPr>
            <w:tcW w:w="500" w:type="dxa"/>
            <w:tcBorders>
              <w:top w:val="nil"/>
              <w:left w:val="single" w:color="000000" w:sz="4" w:space="0"/>
              <w:bottom w:val="single" w:color="000000" w:sz="4" w:space="0"/>
              <w:right w:val="single" w:color="000000" w:sz="4" w:space="0"/>
            </w:tcBorders>
            <w:vAlign w:val="center"/>
          </w:tcPr>
          <w:p w14:paraId="3FD580A7">
            <w:pPr>
              <w:widowControl/>
              <w:jc w:val="center"/>
              <w:rPr>
                <w:rFonts w:ascii="宋体" w:hAnsi="宋体" w:cs="Arial"/>
                <w:kern w:val="0"/>
                <w:sz w:val="18"/>
                <w:szCs w:val="18"/>
              </w:rPr>
            </w:pPr>
            <w:r>
              <w:rPr>
                <w:rFonts w:ascii="宋体" w:hAnsi="宋体" w:cs="Arial"/>
                <w:kern w:val="0"/>
                <w:sz w:val="18"/>
                <w:szCs w:val="18"/>
              </w:rPr>
              <w:t xml:space="preserve">106 </w:t>
            </w:r>
          </w:p>
        </w:tc>
        <w:tc>
          <w:tcPr>
            <w:tcW w:w="1100" w:type="dxa"/>
            <w:tcBorders>
              <w:top w:val="nil"/>
              <w:left w:val="nil"/>
              <w:bottom w:val="single" w:color="000000" w:sz="4" w:space="0"/>
              <w:right w:val="single" w:color="000000" w:sz="4" w:space="0"/>
            </w:tcBorders>
            <w:vAlign w:val="center"/>
          </w:tcPr>
          <w:p w14:paraId="7CB54F92">
            <w:pPr>
              <w:widowControl/>
              <w:jc w:val="center"/>
              <w:rPr>
                <w:rFonts w:ascii="宋体" w:hAnsi="宋体" w:cs="Arial"/>
                <w:kern w:val="0"/>
                <w:sz w:val="18"/>
                <w:szCs w:val="18"/>
              </w:rPr>
            </w:pPr>
            <w:r>
              <w:rPr>
                <w:rFonts w:ascii="宋体" w:hAnsi="宋体" w:cs="Arial"/>
                <w:kern w:val="0"/>
                <w:sz w:val="18"/>
                <w:szCs w:val="18"/>
              </w:rPr>
              <w:t>安全要求</w:t>
            </w:r>
          </w:p>
        </w:tc>
        <w:tc>
          <w:tcPr>
            <w:tcW w:w="1100" w:type="dxa"/>
            <w:vMerge w:val="continue"/>
            <w:tcBorders>
              <w:top w:val="nil"/>
              <w:left w:val="single" w:color="000000" w:sz="4" w:space="0"/>
              <w:bottom w:val="single" w:color="000000" w:sz="4" w:space="0"/>
              <w:right w:val="single" w:color="000000" w:sz="4" w:space="0"/>
            </w:tcBorders>
            <w:vAlign w:val="center"/>
          </w:tcPr>
          <w:p w14:paraId="52BA8A20">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5951D1A7">
            <w:pPr>
              <w:widowControl/>
              <w:jc w:val="center"/>
              <w:rPr>
                <w:rFonts w:ascii="宋体" w:hAnsi="宋体" w:cs="Arial"/>
                <w:kern w:val="0"/>
                <w:sz w:val="18"/>
                <w:szCs w:val="18"/>
              </w:rPr>
            </w:pPr>
            <w:r>
              <w:rPr>
                <w:rFonts w:ascii="宋体" w:hAnsi="宋体" w:cs="Arial"/>
                <w:kern w:val="0"/>
                <w:sz w:val="18"/>
                <w:szCs w:val="18"/>
              </w:rPr>
              <w:t>安全扩展要求</w:t>
            </w:r>
          </w:p>
        </w:tc>
        <w:tc>
          <w:tcPr>
            <w:tcW w:w="8953" w:type="dxa"/>
            <w:tcBorders>
              <w:top w:val="nil"/>
              <w:left w:val="nil"/>
              <w:bottom w:val="single" w:color="000000" w:sz="4" w:space="0"/>
              <w:right w:val="single" w:color="000000" w:sz="4" w:space="0"/>
            </w:tcBorders>
            <w:vAlign w:val="center"/>
          </w:tcPr>
          <w:p w14:paraId="32E4E051">
            <w:pPr>
              <w:widowControl/>
              <w:jc w:val="left"/>
              <w:rPr>
                <w:rFonts w:ascii="宋体" w:hAnsi="宋体" w:cs="Arial"/>
                <w:kern w:val="0"/>
                <w:sz w:val="18"/>
                <w:szCs w:val="18"/>
              </w:rPr>
            </w:pPr>
            <w:r>
              <w:rPr>
                <w:rFonts w:ascii="宋体" w:hAnsi="宋体" w:cs="Arial"/>
                <w:kern w:val="0"/>
                <w:sz w:val="18"/>
                <w:szCs w:val="18"/>
              </w:rPr>
              <w:t>支持自身数据的动态脱敏和透明加密</w:t>
            </w:r>
          </w:p>
        </w:tc>
      </w:tr>
      <w:tr w14:paraId="4D7EB2C5">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343AB480">
            <w:pPr>
              <w:widowControl/>
              <w:jc w:val="center"/>
              <w:rPr>
                <w:rFonts w:ascii="宋体" w:hAnsi="宋体" w:cs="Arial"/>
                <w:kern w:val="0"/>
                <w:sz w:val="18"/>
                <w:szCs w:val="18"/>
              </w:rPr>
            </w:pPr>
            <w:r>
              <w:rPr>
                <w:rFonts w:ascii="宋体" w:hAnsi="宋体" w:cs="Arial"/>
                <w:kern w:val="0"/>
                <w:sz w:val="18"/>
                <w:szCs w:val="18"/>
              </w:rPr>
              <w:t xml:space="preserve">107 </w:t>
            </w:r>
          </w:p>
        </w:tc>
        <w:tc>
          <w:tcPr>
            <w:tcW w:w="1100" w:type="dxa"/>
            <w:tcBorders>
              <w:top w:val="nil"/>
              <w:left w:val="nil"/>
              <w:bottom w:val="single" w:color="000000" w:sz="4" w:space="0"/>
              <w:right w:val="single" w:color="000000" w:sz="4" w:space="0"/>
            </w:tcBorders>
            <w:vAlign w:val="center"/>
          </w:tcPr>
          <w:p w14:paraId="4B2B7209">
            <w:pPr>
              <w:widowControl/>
              <w:jc w:val="center"/>
              <w:rPr>
                <w:rFonts w:ascii="宋体" w:hAnsi="宋体" w:cs="Arial"/>
                <w:kern w:val="0"/>
                <w:sz w:val="18"/>
                <w:szCs w:val="18"/>
              </w:rPr>
            </w:pPr>
            <w:r>
              <w:rPr>
                <w:rFonts w:ascii="宋体" w:hAnsi="宋体" w:cs="Arial"/>
                <w:kern w:val="0"/>
                <w:sz w:val="18"/>
                <w:szCs w:val="18"/>
              </w:rPr>
              <w:t>安全要求</w:t>
            </w:r>
          </w:p>
        </w:tc>
        <w:tc>
          <w:tcPr>
            <w:tcW w:w="1100" w:type="dxa"/>
            <w:vMerge w:val="continue"/>
            <w:tcBorders>
              <w:top w:val="nil"/>
              <w:left w:val="single" w:color="000000" w:sz="4" w:space="0"/>
              <w:bottom w:val="single" w:color="000000" w:sz="4" w:space="0"/>
              <w:right w:val="single" w:color="000000" w:sz="4" w:space="0"/>
            </w:tcBorders>
            <w:vAlign w:val="center"/>
          </w:tcPr>
          <w:p w14:paraId="5CC28D72">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2EB947E0">
            <w:pPr>
              <w:widowControl/>
              <w:jc w:val="center"/>
              <w:rPr>
                <w:rFonts w:ascii="宋体" w:hAnsi="宋体" w:cs="Arial"/>
                <w:kern w:val="0"/>
                <w:sz w:val="18"/>
                <w:szCs w:val="18"/>
              </w:rPr>
            </w:pPr>
            <w:r>
              <w:rPr>
                <w:rFonts w:ascii="宋体" w:hAnsi="宋体" w:cs="Arial"/>
                <w:kern w:val="0"/>
                <w:sz w:val="18"/>
                <w:szCs w:val="18"/>
              </w:rPr>
              <w:t>闪回查询</w:t>
            </w:r>
          </w:p>
        </w:tc>
        <w:tc>
          <w:tcPr>
            <w:tcW w:w="8953" w:type="dxa"/>
            <w:tcBorders>
              <w:top w:val="nil"/>
              <w:left w:val="nil"/>
              <w:bottom w:val="single" w:color="000000" w:sz="4" w:space="0"/>
              <w:right w:val="single" w:color="000000" w:sz="4" w:space="0"/>
            </w:tcBorders>
            <w:vAlign w:val="center"/>
          </w:tcPr>
          <w:p w14:paraId="150720B6">
            <w:pPr>
              <w:widowControl/>
              <w:jc w:val="left"/>
              <w:rPr>
                <w:rFonts w:ascii="宋体" w:hAnsi="宋体" w:cs="Arial"/>
                <w:kern w:val="0"/>
                <w:sz w:val="18"/>
                <w:szCs w:val="18"/>
              </w:rPr>
            </w:pPr>
            <w:r>
              <w:rPr>
                <w:rFonts w:ascii="宋体" w:hAnsi="宋体" w:cs="Arial"/>
                <w:kern w:val="0"/>
                <w:sz w:val="18"/>
                <w:szCs w:val="18"/>
              </w:rPr>
              <w:t>支持数据库闪回查询</w:t>
            </w:r>
          </w:p>
        </w:tc>
      </w:tr>
      <w:tr w14:paraId="112FBBFD">
        <w:tblPrEx>
          <w:tblCellMar>
            <w:top w:w="0" w:type="dxa"/>
            <w:left w:w="108" w:type="dxa"/>
            <w:bottom w:w="0" w:type="dxa"/>
            <w:right w:w="108" w:type="dxa"/>
          </w:tblCellMar>
        </w:tblPrEx>
        <w:trPr>
          <w:trHeight w:val="283" w:hRule="atLeast"/>
        </w:trPr>
        <w:tc>
          <w:tcPr>
            <w:tcW w:w="500" w:type="dxa"/>
            <w:tcBorders>
              <w:top w:val="nil"/>
              <w:left w:val="single" w:color="000000" w:sz="4" w:space="0"/>
              <w:bottom w:val="single" w:color="000000" w:sz="4" w:space="0"/>
              <w:right w:val="single" w:color="000000" w:sz="4" w:space="0"/>
            </w:tcBorders>
            <w:vAlign w:val="center"/>
          </w:tcPr>
          <w:p w14:paraId="109D0271">
            <w:pPr>
              <w:widowControl/>
              <w:jc w:val="center"/>
              <w:rPr>
                <w:rFonts w:ascii="宋体" w:hAnsi="宋体" w:cs="Arial"/>
                <w:kern w:val="0"/>
                <w:sz w:val="18"/>
                <w:szCs w:val="18"/>
              </w:rPr>
            </w:pPr>
            <w:r>
              <w:rPr>
                <w:rFonts w:ascii="宋体" w:hAnsi="宋体" w:cs="Arial"/>
                <w:kern w:val="0"/>
                <w:sz w:val="18"/>
                <w:szCs w:val="18"/>
              </w:rPr>
              <w:t xml:space="preserve">108 </w:t>
            </w:r>
          </w:p>
        </w:tc>
        <w:tc>
          <w:tcPr>
            <w:tcW w:w="1100" w:type="dxa"/>
            <w:tcBorders>
              <w:top w:val="nil"/>
              <w:left w:val="nil"/>
              <w:bottom w:val="single" w:color="000000" w:sz="4" w:space="0"/>
              <w:right w:val="single" w:color="000000" w:sz="4" w:space="0"/>
            </w:tcBorders>
            <w:vAlign w:val="center"/>
          </w:tcPr>
          <w:p w14:paraId="7273587A">
            <w:pPr>
              <w:widowControl/>
              <w:jc w:val="center"/>
              <w:rPr>
                <w:rFonts w:ascii="宋体" w:hAnsi="宋体" w:cs="Arial"/>
                <w:kern w:val="0"/>
                <w:sz w:val="18"/>
                <w:szCs w:val="18"/>
              </w:rPr>
            </w:pPr>
            <w:r>
              <w:rPr>
                <w:rFonts w:ascii="宋体" w:hAnsi="宋体" w:cs="Arial"/>
                <w:kern w:val="0"/>
                <w:sz w:val="18"/>
                <w:szCs w:val="18"/>
              </w:rPr>
              <w:t>安全要求</w:t>
            </w:r>
          </w:p>
        </w:tc>
        <w:tc>
          <w:tcPr>
            <w:tcW w:w="1100" w:type="dxa"/>
            <w:vMerge w:val="continue"/>
            <w:tcBorders>
              <w:top w:val="nil"/>
              <w:left w:val="single" w:color="000000" w:sz="4" w:space="0"/>
              <w:bottom w:val="single" w:color="000000" w:sz="4" w:space="0"/>
              <w:right w:val="single" w:color="000000" w:sz="4" w:space="0"/>
            </w:tcBorders>
            <w:vAlign w:val="center"/>
          </w:tcPr>
          <w:p w14:paraId="4E163FB3">
            <w:pPr>
              <w:widowControl/>
              <w:jc w:val="left"/>
              <w:rPr>
                <w:rFonts w:ascii="宋体" w:hAnsi="宋体" w:cs="Arial"/>
                <w:kern w:val="0"/>
                <w:sz w:val="18"/>
                <w:szCs w:val="18"/>
              </w:rPr>
            </w:pPr>
          </w:p>
        </w:tc>
        <w:tc>
          <w:tcPr>
            <w:tcW w:w="1100" w:type="dxa"/>
            <w:tcBorders>
              <w:top w:val="nil"/>
              <w:left w:val="nil"/>
              <w:bottom w:val="single" w:color="000000" w:sz="4" w:space="0"/>
              <w:right w:val="single" w:color="000000" w:sz="4" w:space="0"/>
            </w:tcBorders>
            <w:vAlign w:val="center"/>
          </w:tcPr>
          <w:p w14:paraId="469687C6">
            <w:pPr>
              <w:widowControl/>
              <w:jc w:val="center"/>
              <w:rPr>
                <w:rFonts w:ascii="宋体" w:hAnsi="宋体" w:cs="Arial"/>
                <w:kern w:val="0"/>
                <w:sz w:val="18"/>
                <w:szCs w:val="18"/>
              </w:rPr>
            </w:pPr>
            <w:r>
              <w:rPr>
                <w:rFonts w:ascii="宋体" w:hAnsi="宋体" w:cs="Arial"/>
                <w:kern w:val="0"/>
                <w:sz w:val="18"/>
                <w:szCs w:val="18"/>
              </w:rPr>
              <w:t>闪回恢复</w:t>
            </w:r>
          </w:p>
        </w:tc>
        <w:tc>
          <w:tcPr>
            <w:tcW w:w="8953" w:type="dxa"/>
            <w:tcBorders>
              <w:top w:val="nil"/>
              <w:left w:val="nil"/>
              <w:bottom w:val="single" w:color="000000" w:sz="4" w:space="0"/>
              <w:right w:val="single" w:color="000000" w:sz="4" w:space="0"/>
            </w:tcBorders>
            <w:vAlign w:val="center"/>
          </w:tcPr>
          <w:p w14:paraId="17E3974A">
            <w:pPr>
              <w:widowControl/>
              <w:jc w:val="left"/>
              <w:rPr>
                <w:rFonts w:ascii="宋体" w:hAnsi="宋体" w:cs="Arial"/>
                <w:kern w:val="0"/>
                <w:sz w:val="18"/>
                <w:szCs w:val="18"/>
              </w:rPr>
            </w:pPr>
            <w:r>
              <w:rPr>
                <w:rFonts w:ascii="宋体" w:hAnsi="宋体" w:cs="Arial"/>
                <w:kern w:val="0"/>
                <w:sz w:val="18"/>
                <w:szCs w:val="18"/>
              </w:rPr>
              <w:t>支持闪回查询实时恢复数据，支持不同级别（如库级、表级等）的闪回恢复</w:t>
            </w:r>
          </w:p>
        </w:tc>
      </w:tr>
    </w:tbl>
    <w:p w14:paraId="6F4BA509">
      <w:pPr>
        <w:tabs>
          <w:tab w:val="left" w:pos="360"/>
          <w:tab w:val="left" w:pos="540"/>
        </w:tabs>
        <w:spacing w:line="360" w:lineRule="auto"/>
        <w:rPr>
          <w:rFonts w:ascii="宋体" w:hAnsi="宋体" w:cs="宋体"/>
          <w:szCs w:val="21"/>
        </w:rPr>
      </w:pPr>
    </w:p>
    <w:p w14:paraId="31C493D0">
      <w:pPr>
        <w:spacing w:line="360" w:lineRule="auto"/>
        <w:ind w:firstLine="480" w:firstLineChars="200"/>
        <w:outlineLvl w:val="0"/>
        <w:rPr>
          <w:rFonts w:hint="eastAsia"/>
          <w:sz w:val="24"/>
        </w:rPr>
      </w:pPr>
    </w:p>
    <w:p w14:paraId="70DE1276">
      <w:pPr>
        <w:spacing w:line="360" w:lineRule="auto"/>
        <w:ind w:firstLine="480" w:firstLineChars="200"/>
        <w:outlineLvl w:val="0"/>
        <w:rPr>
          <w:sz w:val="24"/>
        </w:rPr>
      </w:pPr>
    </w:p>
    <w:p w14:paraId="786548B4">
      <w:pPr>
        <w:spacing w:line="360" w:lineRule="auto"/>
        <w:ind w:firstLine="480" w:firstLineChars="200"/>
        <w:outlineLvl w:val="0"/>
        <w:rPr>
          <w:sz w:val="24"/>
        </w:rPr>
        <w:sectPr>
          <w:pgSz w:w="16838" w:h="11906" w:orient="landscape"/>
          <w:pgMar w:top="1800" w:right="1440" w:bottom="1800" w:left="1440" w:header="851" w:footer="992" w:gutter="0"/>
          <w:cols w:space="720" w:num="1"/>
          <w:docGrid w:type="lines" w:linePitch="312" w:charSpace="0"/>
        </w:sectPr>
      </w:pPr>
    </w:p>
    <w:p w14:paraId="5F5BBBC9">
      <w:pPr>
        <w:spacing w:line="360" w:lineRule="auto"/>
        <w:ind w:firstLine="480" w:firstLineChars="200"/>
        <w:outlineLvl w:val="0"/>
        <w:rPr>
          <w:sz w:val="24"/>
        </w:rPr>
      </w:pPr>
      <w:r>
        <w:rPr>
          <w:rFonts w:hint="eastAsia"/>
          <w:sz w:val="24"/>
        </w:rPr>
        <w:t>注：</w:t>
      </w:r>
    </w:p>
    <w:p w14:paraId="6002C35C">
      <w:pPr>
        <w:spacing w:line="360" w:lineRule="auto"/>
        <w:ind w:firstLine="480" w:firstLineChars="200"/>
        <w:outlineLvl w:val="0"/>
        <w:rPr>
          <w:sz w:val="24"/>
        </w:rPr>
      </w:pPr>
      <w:r>
        <w:rPr>
          <w:sz w:val="24"/>
        </w:rPr>
        <w:t>加注“</w:t>
      </w:r>
      <w:r>
        <w:rPr>
          <w:rFonts w:hint="eastAsia" w:ascii="宋体" w:hAnsi="宋体" w:cs="宋体"/>
          <w:sz w:val="24"/>
        </w:rPr>
        <w:t>★</w:t>
      </w:r>
      <w:r>
        <w:rPr>
          <w:sz w:val="24"/>
        </w:rPr>
        <w:t>”号条款为实质性条款，不得出现负偏离，发生负偏离即做无效标处理。</w:t>
      </w:r>
      <w:r>
        <w:rPr>
          <w:rFonts w:hint="eastAsia"/>
          <w:sz w:val="24"/>
        </w:rPr>
        <w:t>加注“▲”号的产品为核心产品。</w:t>
      </w:r>
    </w:p>
    <w:p w14:paraId="71F7C6E7">
      <w:pPr>
        <w:spacing w:line="360" w:lineRule="auto"/>
        <w:ind w:firstLine="482" w:firstLineChars="200"/>
        <w:rPr>
          <w:rFonts w:hint="eastAsia" w:ascii="宋体" w:hAnsi="宋体"/>
          <w:b/>
          <w:sz w:val="24"/>
        </w:rPr>
      </w:pPr>
      <w:r>
        <w:rPr>
          <w:rFonts w:hint="eastAsia" w:ascii="宋体" w:hAnsi="宋体"/>
          <w:b/>
          <w:sz w:val="24"/>
        </w:rPr>
        <w:t>五、商务要求</w:t>
      </w:r>
    </w:p>
    <w:p w14:paraId="293B2B08">
      <w:pPr>
        <w:spacing w:line="360" w:lineRule="auto"/>
        <w:ind w:firstLine="480" w:firstLineChars="200"/>
        <w:outlineLvl w:val="0"/>
        <w:rPr>
          <w:sz w:val="24"/>
        </w:rPr>
      </w:pPr>
      <w:r>
        <w:rPr>
          <w:rFonts w:hint="eastAsia"/>
          <w:sz w:val="24"/>
        </w:rPr>
        <w:t>1. 提供所投产品5年的免费上门保修及1年的驻场运维。</w:t>
      </w:r>
    </w:p>
    <w:p w14:paraId="11628301">
      <w:pPr>
        <w:spacing w:line="360" w:lineRule="auto"/>
        <w:ind w:firstLine="480" w:firstLineChars="200"/>
        <w:outlineLvl w:val="0"/>
        <w:rPr>
          <w:sz w:val="24"/>
        </w:rPr>
      </w:pPr>
      <w:r>
        <w:rPr>
          <w:rFonts w:hint="eastAsia"/>
          <w:sz w:val="24"/>
        </w:rPr>
        <w:t>2. 供货周期：乙方应于本合同签订之日起 90日内，将全部硬件设备运抵甲方指定地点。安装工期：硬件设备到场后，乙方应在 10个工作日内完成所有设备的安装与调试工作。</w:t>
      </w:r>
    </w:p>
    <w:p w14:paraId="4C7938F0">
      <w:pPr>
        <w:spacing w:line="360" w:lineRule="auto"/>
        <w:ind w:firstLine="480" w:firstLineChars="200"/>
        <w:outlineLvl w:val="0"/>
        <w:rPr>
          <w:sz w:val="24"/>
        </w:rPr>
      </w:pPr>
      <w:r>
        <w:rPr>
          <w:rFonts w:hint="eastAsia"/>
          <w:sz w:val="24"/>
        </w:rPr>
        <w:t>3.付款方式：</w:t>
      </w:r>
      <w:r>
        <w:rPr>
          <w:sz w:val="24"/>
        </w:rPr>
        <w:t>合同双方盖章生效后，10个工作日内中标方提供包含但不限于系统部署人员责任分工、实施日程等的书面方案，采购人确认无异议后支付合同总金额30%。本项目系统部署测试完毕(含全部定制开发功能交付)，供应商发起书面验收申请，采购人用户部门核实确认系统部署实施完毕，10个工作日内组织项目验收。项目履约验收合格后30日内，采购人支付合同剩余金额70%</w:t>
      </w:r>
      <w:r>
        <w:rPr>
          <w:rFonts w:hint="eastAsia"/>
          <w:sz w:val="24"/>
        </w:rPr>
        <w:t>。</w:t>
      </w:r>
    </w:p>
    <w:p w14:paraId="4B4CD26C">
      <w:pPr>
        <w:autoSpaceDE w:val="0"/>
        <w:autoSpaceDN w:val="0"/>
        <w:spacing w:line="360" w:lineRule="auto"/>
        <w:ind w:firstLine="482" w:firstLineChars="200"/>
        <w:rPr>
          <w:b/>
          <w:sz w:val="24"/>
        </w:rPr>
      </w:pPr>
      <w:r>
        <w:rPr>
          <w:rFonts w:hint="eastAsia"/>
          <w:b/>
          <w:sz w:val="24"/>
        </w:rPr>
        <w:t>六、验收标准</w:t>
      </w:r>
    </w:p>
    <w:p w14:paraId="78B6D74B">
      <w:pPr>
        <w:spacing w:line="360" w:lineRule="auto"/>
        <w:ind w:firstLine="480" w:firstLineChars="200"/>
        <w:outlineLvl w:val="0"/>
        <w:rPr>
          <w:rFonts w:hint="eastAsia" w:ascii="宋体" w:hAnsi="宋体"/>
          <w:sz w:val="24"/>
        </w:rPr>
      </w:pPr>
      <w:r>
        <w:rPr>
          <w:rFonts w:ascii="宋体" w:hAnsi="宋体"/>
          <w:sz w:val="24"/>
        </w:rPr>
        <w:t>（1）履约验收主体</w:t>
      </w:r>
      <w:r>
        <w:rPr>
          <w:rFonts w:hint="eastAsia" w:ascii="宋体" w:hAnsi="宋体"/>
          <w:sz w:val="24"/>
        </w:rPr>
        <w:t>：本校</w:t>
      </w:r>
    </w:p>
    <w:p w14:paraId="19462520">
      <w:pPr>
        <w:spacing w:line="360" w:lineRule="auto"/>
        <w:ind w:firstLine="480" w:firstLineChars="200"/>
        <w:outlineLvl w:val="0"/>
        <w:rPr>
          <w:rFonts w:hint="eastAsia" w:ascii="宋体" w:hAnsi="宋体"/>
          <w:sz w:val="24"/>
        </w:rPr>
      </w:pPr>
      <w:r>
        <w:rPr>
          <w:rFonts w:ascii="宋体" w:hAnsi="宋体"/>
          <w:sz w:val="24"/>
        </w:rPr>
        <w:t>（2）履约验收时间：系统部署完毕后由中标方提出书面验收申请，采购人在收到申请</w:t>
      </w:r>
      <w:r>
        <w:rPr>
          <w:rFonts w:hint="eastAsia" w:ascii="宋体" w:hAnsi="宋体"/>
          <w:sz w:val="24"/>
        </w:rPr>
        <w:t>并</w:t>
      </w:r>
      <w:r>
        <w:rPr>
          <w:sz w:val="24"/>
        </w:rPr>
        <w:t>核实确认系统部署实施完毕</w:t>
      </w:r>
      <w:r>
        <w:rPr>
          <w:rFonts w:hint="eastAsia"/>
          <w:sz w:val="24"/>
        </w:rPr>
        <w:t>后，</w:t>
      </w:r>
      <w:r>
        <w:rPr>
          <w:rFonts w:ascii="宋体" w:hAnsi="宋体"/>
          <w:sz w:val="24"/>
        </w:rPr>
        <w:t>10个工作日内组织履约验收。</w:t>
      </w:r>
    </w:p>
    <w:p w14:paraId="43881B52">
      <w:pPr>
        <w:spacing w:line="360" w:lineRule="auto"/>
        <w:ind w:firstLine="480" w:firstLineChars="200"/>
        <w:outlineLvl w:val="0"/>
        <w:rPr>
          <w:rFonts w:hint="eastAsia" w:ascii="宋体" w:hAnsi="宋体"/>
          <w:sz w:val="24"/>
        </w:rPr>
      </w:pPr>
      <w:r>
        <w:rPr>
          <w:rFonts w:ascii="宋体" w:hAnsi="宋体"/>
          <w:sz w:val="24"/>
        </w:rPr>
        <w:t>（3）履约验收方式：采用现场验收方式。由采购人组织相关部门及专家组成验收小组，对照招标文件和投标文件的技术要求，逐项测试验证各模块功能、性能及兼容性。</w:t>
      </w:r>
    </w:p>
    <w:p w14:paraId="4CC51677">
      <w:pPr>
        <w:spacing w:line="360" w:lineRule="auto"/>
        <w:ind w:firstLine="480" w:firstLineChars="200"/>
        <w:outlineLvl w:val="0"/>
        <w:rPr>
          <w:rFonts w:hint="eastAsia" w:ascii="宋体" w:hAnsi="宋体"/>
          <w:sz w:val="24"/>
        </w:rPr>
      </w:pPr>
      <w:r>
        <w:rPr>
          <w:rFonts w:ascii="宋体" w:hAnsi="宋体"/>
          <w:sz w:val="24"/>
        </w:rPr>
        <w:t>（4）履约验收程序：本项目实施分阶段验收。</w:t>
      </w:r>
    </w:p>
    <w:p w14:paraId="4A639C0B">
      <w:pPr>
        <w:spacing w:line="360" w:lineRule="auto"/>
        <w:ind w:firstLine="480" w:firstLineChars="200"/>
        <w:outlineLvl w:val="0"/>
        <w:rPr>
          <w:rFonts w:hint="eastAsia" w:ascii="宋体" w:hAnsi="宋体"/>
          <w:sz w:val="24"/>
        </w:rPr>
      </w:pPr>
      <w:r>
        <w:rPr>
          <w:rFonts w:ascii="宋体" w:hAnsi="宋体"/>
          <w:sz w:val="24"/>
        </w:rPr>
        <w:t>第一阶段——货物验收：硬件货物（通用服务器）到货后，由采购人对硬件配置、数量、规格进行核验，确保与合同要求一致。</w:t>
      </w:r>
    </w:p>
    <w:p w14:paraId="1B4BFFF2">
      <w:pPr>
        <w:spacing w:line="360" w:lineRule="auto"/>
        <w:ind w:firstLine="480" w:firstLineChars="200"/>
        <w:outlineLvl w:val="0"/>
        <w:rPr>
          <w:rFonts w:hint="eastAsia" w:ascii="宋体" w:hAnsi="宋体"/>
          <w:sz w:val="24"/>
        </w:rPr>
      </w:pPr>
      <w:r>
        <w:rPr>
          <w:rFonts w:ascii="宋体" w:hAnsi="宋体"/>
          <w:sz w:val="24"/>
        </w:rPr>
        <w:t>第二阶段——安装调试验收：系统安装完成后，对硬件与软件的兼容性、系统运行状态进行测试</w:t>
      </w:r>
      <w:r>
        <w:rPr>
          <w:rFonts w:hint="eastAsia" w:ascii="宋体" w:hAnsi="宋体"/>
          <w:sz w:val="24"/>
        </w:rPr>
        <w:t>，中标方出具测试报告</w:t>
      </w:r>
      <w:r>
        <w:rPr>
          <w:rFonts w:ascii="宋体" w:hAnsi="宋体"/>
          <w:sz w:val="24"/>
        </w:rPr>
        <w:t>。</w:t>
      </w:r>
    </w:p>
    <w:p w14:paraId="205D3C48">
      <w:pPr>
        <w:spacing w:line="360" w:lineRule="auto"/>
        <w:ind w:firstLine="480" w:firstLineChars="200"/>
        <w:outlineLvl w:val="0"/>
        <w:rPr>
          <w:rFonts w:hint="eastAsia" w:ascii="宋体" w:hAnsi="宋体"/>
          <w:sz w:val="24"/>
        </w:rPr>
      </w:pPr>
      <w:r>
        <w:rPr>
          <w:rFonts w:ascii="宋体" w:hAnsi="宋体"/>
          <w:sz w:val="24"/>
        </w:rPr>
        <w:t>第三阶段——系统整体验收：系统全功能测试完毕后，由验收小组进行综合评定，签署验收报告。</w:t>
      </w:r>
    </w:p>
    <w:p w14:paraId="754D25B2">
      <w:pPr>
        <w:spacing w:line="360" w:lineRule="auto"/>
        <w:ind w:firstLine="480" w:firstLineChars="200"/>
        <w:outlineLvl w:val="0"/>
        <w:rPr>
          <w:rFonts w:hint="eastAsia" w:ascii="宋体" w:hAnsi="宋体"/>
          <w:sz w:val="24"/>
        </w:rPr>
      </w:pPr>
      <w:r>
        <w:rPr>
          <w:rFonts w:ascii="宋体" w:hAnsi="宋体"/>
          <w:sz w:val="24"/>
        </w:rPr>
        <w:t>（5）履约验收内容</w:t>
      </w:r>
    </w:p>
    <w:p w14:paraId="2171B19F">
      <w:pPr>
        <w:spacing w:line="360" w:lineRule="auto"/>
        <w:ind w:firstLine="480" w:firstLineChars="200"/>
        <w:outlineLvl w:val="0"/>
        <w:rPr>
          <w:rFonts w:hint="eastAsia" w:ascii="宋体" w:hAnsi="宋体"/>
          <w:sz w:val="24"/>
        </w:rPr>
      </w:pPr>
      <w:r>
        <w:rPr>
          <w:rFonts w:ascii="宋体" w:hAnsi="宋体"/>
          <w:sz w:val="24"/>
        </w:rPr>
        <w:t>核验项目全套交付资料的完整性，包括但不限于：系统设计方案、需求规格说明书、管理员操作手册、用户使用手册、API接口手册、数据迁移方案与核对报告、培训资料、知识产权承诺函等。</w:t>
      </w:r>
    </w:p>
    <w:p w14:paraId="090A7086">
      <w:pPr>
        <w:spacing w:line="360" w:lineRule="auto"/>
        <w:ind w:firstLine="480" w:firstLineChars="200"/>
        <w:outlineLvl w:val="0"/>
        <w:rPr>
          <w:rFonts w:hint="eastAsia" w:ascii="宋体" w:hAnsi="宋体"/>
          <w:sz w:val="24"/>
        </w:rPr>
      </w:pPr>
      <w:r>
        <w:rPr>
          <w:rFonts w:ascii="宋体" w:hAnsi="宋体"/>
          <w:sz w:val="24"/>
        </w:rPr>
        <w:t>（6）履约验收标准：按照以下标准进行履约验收。</w:t>
      </w:r>
    </w:p>
    <w:p w14:paraId="0BDDE92C">
      <w:pPr>
        <w:spacing w:line="360" w:lineRule="auto"/>
        <w:ind w:firstLine="480" w:firstLineChars="200"/>
        <w:outlineLvl w:val="0"/>
        <w:rPr>
          <w:rFonts w:hint="eastAsia" w:ascii="宋体" w:hAnsi="宋体"/>
          <w:sz w:val="24"/>
        </w:rPr>
      </w:pPr>
      <w:r>
        <w:rPr>
          <w:rFonts w:ascii="宋体" w:hAnsi="宋体"/>
          <w:sz w:val="24"/>
        </w:rPr>
        <w:t>1.硬件部分：硬件配置、型号、数量、技术参数符合招标文件和合同要求；硬件运行正常，通过48小时稳定性测试。</w:t>
      </w:r>
    </w:p>
    <w:p w14:paraId="06FF2C01">
      <w:pPr>
        <w:spacing w:line="360" w:lineRule="auto"/>
        <w:ind w:firstLine="480" w:firstLineChars="200"/>
        <w:outlineLvl w:val="0"/>
        <w:rPr>
          <w:rFonts w:hint="eastAsia" w:ascii="宋体" w:hAnsi="宋体"/>
          <w:sz w:val="24"/>
        </w:rPr>
      </w:pPr>
      <w:r>
        <w:rPr>
          <w:rFonts w:ascii="宋体" w:hAnsi="宋体"/>
          <w:sz w:val="24"/>
        </w:rPr>
        <w:t>2.软件部分：系统功能模块全部上线并正常运行，满足招标文件中所有技术要求；系统性能指标符合合同约定。</w:t>
      </w:r>
    </w:p>
    <w:p w14:paraId="2B9E3269">
      <w:pPr>
        <w:spacing w:line="360" w:lineRule="auto"/>
        <w:ind w:firstLine="480" w:firstLineChars="200"/>
        <w:outlineLvl w:val="0"/>
        <w:rPr>
          <w:rFonts w:hint="eastAsia" w:ascii="宋体" w:hAnsi="宋体"/>
          <w:sz w:val="24"/>
        </w:rPr>
      </w:pPr>
      <w:r>
        <w:rPr>
          <w:rFonts w:ascii="宋体" w:hAnsi="宋体"/>
          <w:sz w:val="24"/>
        </w:rPr>
        <w:t>3.文档部分：验收时同步交付完整的系统设计方案、需求规格说明书、管理员操作手册、用户使用手册、API接口手册、数据迁移方案与核对报告、培训资料、知识产权承诺函等。</w:t>
      </w:r>
    </w:p>
    <w:p w14:paraId="5F91960A">
      <w:pPr>
        <w:spacing w:line="360" w:lineRule="auto"/>
        <w:ind w:firstLine="482" w:firstLineChars="200"/>
        <w:outlineLvl w:val="0"/>
        <w:rPr>
          <w:b/>
          <w:sz w:val="24"/>
        </w:rPr>
      </w:pPr>
      <w:r>
        <w:rPr>
          <w:rFonts w:hint="eastAsia"/>
          <w:b/>
          <w:sz w:val="24"/>
        </w:rPr>
        <w:t>七、其他要求</w:t>
      </w:r>
    </w:p>
    <w:p w14:paraId="52835212">
      <w:pPr>
        <w:spacing w:line="360" w:lineRule="auto"/>
        <w:ind w:firstLine="480" w:firstLineChars="200"/>
        <w:outlineLvl w:val="0"/>
        <w:rPr>
          <w:rFonts w:hint="eastAsia" w:ascii="宋体" w:hAnsi="宋体"/>
          <w:bCs/>
          <w:sz w:val="24"/>
        </w:rPr>
      </w:pPr>
      <w:r>
        <w:rPr>
          <w:rFonts w:hint="eastAsia"/>
          <w:bCs/>
          <w:sz w:val="24"/>
        </w:rPr>
        <w:t>无</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serif">
    <w:altName w:val="Malgun Gothic Semilight"/>
    <w:panose1 w:val="00000000000000000000"/>
    <w:charset w:val="00"/>
    <w:family w:val="auto"/>
    <w:pitch w:val="default"/>
    <w:sig w:usb0="00000000" w:usb1="00000000" w:usb2="00000000" w:usb3="00000000" w:csb0="00000000" w:csb1="00000000"/>
  </w:font>
  <w:font w:name="Malgun Gothic Semilight">
    <w:panose1 w:val="020B0502040204020203"/>
    <w:charset w:val="86"/>
    <w:family w:val="auto"/>
    <w:pitch w:val="default"/>
    <w:sig w:usb0="900002AF" w:usb1="01D77CFB" w:usb2="00000012" w:usb3="00000000" w:csb0="203E01BD" w:csb1="D7FF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902"/>
    <w:rsid w:val="000247DC"/>
    <w:rsid w:val="00045631"/>
    <w:rsid w:val="00071693"/>
    <w:rsid w:val="00095C36"/>
    <w:rsid w:val="000A1290"/>
    <w:rsid w:val="000A2D6B"/>
    <w:rsid w:val="000A6FE9"/>
    <w:rsid w:val="000C184F"/>
    <w:rsid w:val="000E2EAA"/>
    <w:rsid w:val="00111F73"/>
    <w:rsid w:val="001335EE"/>
    <w:rsid w:val="001400A9"/>
    <w:rsid w:val="00155DBE"/>
    <w:rsid w:val="00170C09"/>
    <w:rsid w:val="00192958"/>
    <w:rsid w:val="001D0C0D"/>
    <w:rsid w:val="001E7CF5"/>
    <w:rsid w:val="001F60D5"/>
    <w:rsid w:val="00201493"/>
    <w:rsid w:val="002053EF"/>
    <w:rsid w:val="00244BBF"/>
    <w:rsid w:val="002515DC"/>
    <w:rsid w:val="00270221"/>
    <w:rsid w:val="00273770"/>
    <w:rsid w:val="002964AE"/>
    <w:rsid w:val="002E519C"/>
    <w:rsid w:val="00305686"/>
    <w:rsid w:val="00306C12"/>
    <w:rsid w:val="00315235"/>
    <w:rsid w:val="00330E0D"/>
    <w:rsid w:val="0033397A"/>
    <w:rsid w:val="003545AA"/>
    <w:rsid w:val="003A0037"/>
    <w:rsid w:val="003D6EFB"/>
    <w:rsid w:val="003E7311"/>
    <w:rsid w:val="003F429C"/>
    <w:rsid w:val="00407681"/>
    <w:rsid w:val="00410F83"/>
    <w:rsid w:val="00412918"/>
    <w:rsid w:val="004459D2"/>
    <w:rsid w:val="0045575F"/>
    <w:rsid w:val="00483C3E"/>
    <w:rsid w:val="004E5CED"/>
    <w:rsid w:val="004F0C45"/>
    <w:rsid w:val="005105F6"/>
    <w:rsid w:val="0057138B"/>
    <w:rsid w:val="00574287"/>
    <w:rsid w:val="00584AB5"/>
    <w:rsid w:val="005C0E7E"/>
    <w:rsid w:val="005D55EA"/>
    <w:rsid w:val="00616E51"/>
    <w:rsid w:val="00620A87"/>
    <w:rsid w:val="00621FAE"/>
    <w:rsid w:val="0062621F"/>
    <w:rsid w:val="00634D3F"/>
    <w:rsid w:val="00645A07"/>
    <w:rsid w:val="00680419"/>
    <w:rsid w:val="00682E4E"/>
    <w:rsid w:val="006B06EF"/>
    <w:rsid w:val="006B0B20"/>
    <w:rsid w:val="006D17C5"/>
    <w:rsid w:val="006D5E8F"/>
    <w:rsid w:val="006E58FC"/>
    <w:rsid w:val="007135F6"/>
    <w:rsid w:val="007433F3"/>
    <w:rsid w:val="0078747E"/>
    <w:rsid w:val="007A45E1"/>
    <w:rsid w:val="007B71C4"/>
    <w:rsid w:val="00822317"/>
    <w:rsid w:val="00845E60"/>
    <w:rsid w:val="00856005"/>
    <w:rsid w:val="00861373"/>
    <w:rsid w:val="00861EA9"/>
    <w:rsid w:val="008662DD"/>
    <w:rsid w:val="008A6D81"/>
    <w:rsid w:val="008C68C8"/>
    <w:rsid w:val="00902800"/>
    <w:rsid w:val="009161CD"/>
    <w:rsid w:val="0091671E"/>
    <w:rsid w:val="00922E8E"/>
    <w:rsid w:val="00930995"/>
    <w:rsid w:val="009356EC"/>
    <w:rsid w:val="00944537"/>
    <w:rsid w:val="00945B13"/>
    <w:rsid w:val="0094738D"/>
    <w:rsid w:val="00973637"/>
    <w:rsid w:val="00990B50"/>
    <w:rsid w:val="009A114C"/>
    <w:rsid w:val="009D6ECB"/>
    <w:rsid w:val="009E14A0"/>
    <w:rsid w:val="00A21C5C"/>
    <w:rsid w:val="00A27F3F"/>
    <w:rsid w:val="00A41912"/>
    <w:rsid w:val="00A71C25"/>
    <w:rsid w:val="00A772E5"/>
    <w:rsid w:val="00AA0AF1"/>
    <w:rsid w:val="00AA137D"/>
    <w:rsid w:val="00AA3D16"/>
    <w:rsid w:val="00AB1AAA"/>
    <w:rsid w:val="00AB683B"/>
    <w:rsid w:val="00AC1733"/>
    <w:rsid w:val="00AE2D62"/>
    <w:rsid w:val="00B14697"/>
    <w:rsid w:val="00B15F5E"/>
    <w:rsid w:val="00B169E3"/>
    <w:rsid w:val="00B462D8"/>
    <w:rsid w:val="00B514E7"/>
    <w:rsid w:val="00BF4747"/>
    <w:rsid w:val="00BF622A"/>
    <w:rsid w:val="00C17BFA"/>
    <w:rsid w:val="00C560F1"/>
    <w:rsid w:val="00C60BAE"/>
    <w:rsid w:val="00C75C8E"/>
    <w:rsid w:val="00C817E5"/>
    <w:rsid w:val="00C82EF1"/>
    <w:rsid w:val="00CB1A31"/>
    <w:rsid w:val="00CC180E"/>
    <w:rsid w:val="00CC29E1"/>
    <w:rsid w:val="00CD0C9A"/>
    <w:rsid w:val="00CD24E9"/>
    <w:rsid w:val="00CE1F46"/>
    <w:rsid w:val="00CE576F"/>
    <w:rsid w:val="00CF178E"/>
    <w:rsid w:val="00D02953"/>
    <w:rsid w:val="00D17989"/>
    <w:rsid w:val="00D440D3"/>
    <w:rsid w:val="00D5625F"/>
    <w:rsid w:val="00D64338"/>
    <w:rsid w:val="00D655A7"/>
    <w:rsid w:val="00D80E98"/>
    <w:rsid w:val="00D874CD"/>
    <w:rsid w:val="00DB3902"/>
    <w:rsid w:val="00DE48FB"/>
    <w:rsid w:val="00E00018"/>
    <w:rsid w:val="00E268BE"/>
    <w:rsid w:val="00E425EF"/>
    <w:rsid w:val="00E55C1F"/>
    <w:rsid w:val="00E803D7"/>
    <w:rsid w:val="00E86AA4"/>
    <w:rsid w:val="00EC4AE3"/>
    <w:rsid w:val="00ED4738"/>
    <w:rsid w:val="00EF0A57"/>
    <w:rsid w:val="00F11972"/>
    <w:rsid w:val="00F12DFA"/>
    <w:rsid w:val="00F15484"/>
    <w:rsid w:val="00F22B2A"/>
    <w:rsid w:val="00F40AFD"/>
    <w:rsid w:val="00F435AC"/>
    <w:rsid w:val="00F50D93"/>
    <w:rsid w:val="00F73D28"/>
    <w:rsid w:val="00F873E2"/>
    <w:rsid w:val="00F87F9F"/>
    <w:rsid w:val="00FA1E20"/>
    <w:rsid w:val="00FB491C"/>
    <w:rsid w:val="00FC126E"/>
    <w:rsid w:val="00FE0FD8"/>
    <w:rsid w:val="1149420A"/>
    <w:rsid w:val="157B57FF"/>
    <w:rsid w:val="1BE0460E"/>
    <w:rsid w:val="34D36E57"/>
    <w:rsid w:val="35B91BE4"/>
    <w:rsid w:val="368F0CB2"/>
    <w:rsid w:val="373C556B"/>
    <w:rsid w:val="3DEFF2CB"/>
    <w:rsid w:val="3FDF1828"/>
    <w:rsid w:val="43BFF338"/>
    <w:rsid w:val="51711DD2"/>
    <w:rsid w:val="54EB4860"/>
    <w:rsid w:val="5DAFBDB6"/>
    <w:rsid w:val="6646288C"/>
    <w:rsid w:val="66FDA63D"/>
    <w:rsid w:val="6DFDA111"/>
    <w:rsid w:val="71FB33EE"/>
    <w:rsid w:val="759F192D"/>
    <w:rsid w:val="7EB8766E"/>
    <w:rsid w:val="7FB6515A"/>
    <w:rsid w:val="8FEB3099"/>
    <w:rsid w:val="9CFF6447"/>
    <w:rsid w:val="DD6F3B7E"/>
    <w:rsid w:val="EFDE42E9"/>
    <w:rsid w:val="F5FB1264"/>
    <w:rsid w:val="F5FECA50"/>
    <w:rsid w:val="F7FE8634"/>
    <w:rsid w:val="FD7F3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b/>
      <w:bCs/>
      <w:kern w:val="0"/>
      <w:sz w:val="36"/>
      <w:szCs w:val="36"/>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b/>
      <w:bCs/>
      <w:color w:val="000000"/>
      <w:kern w:val="0"/>
      <w:sz w:val="27"/>
      <w:szCs w:val="27"/>
    </w:rPr>
  </w:style>
  <w:style w:type="paragraph" w:styleId="4">
    <w:name w:val="heading 4"/>
    <w:basedOn w:val="1"/>
    <w:next w:val="1"/>
    <w:unhideWhenUsed/>
    <w:qFormat/>
    <w:uiPriority w:val="0"/>
    <w:pPr>
      <w:spacing w:before="100" w:beforeAutospacing="1" w:after="100" w:afterAutospacing="1"/>
      <w:jc w:val="left"/>
      <w:outlineLvl w:val="3"/>
    </w:pPr>
    <w:rPr>
      <w:rFonts w:hint="eastAsia" w:ascii="宋体" w:hAnsi="宋体"/>
      <w:b/>
      <w:bCs/>
      <w:kern w:val="0"/>
      <w:sz w:val="24"/>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annotation text"/>
    <w:basedOn w:val="1"/>
    <w:link w:val="27"/>
    <w:qFormat/>
    <w:uiPriority w:val="0"/>
    <w:pPr>
      <w:jc w:val="left"/>
    </w:pPr>
  </w:style>
  <w:style w:type="paragraph" w:styleId="7">
    <w:name w:val="Body Text"/>
    <w:basedOn w:val="1"/>
    <w:link w:val="38"/>
    <w:qFormat/>
    <w:uiPriority w:val="0"/>
    <w:rPr>
      <w:sz w:val="28"/>
    </w:rPr>
  </w:style>
  <w:style w:type="paragraph" w:styleId="8">
    <w:name w:val="Date"/>
    <w:basedOn w:val="1"/>
    <w:next w:val="1"/>
    <w:link w:val="34"/>
    <w:uiPriority w:val="0"/>
    <w:pPr>
      <w:ind w:left="100" w:leftChars="2500"/>
    </w:pPr>
  </w:style>
  <w:style w:type="paragraph" w:styleId="9">
    <w:name w:val="Balloon Text"/>
    <w:basedOn w:val="1"/>
    <w:semiHidden/>
    <w:qFormat/>
    <w:uiPriority w:val="0"/>
    <w:rPr>
      <w:sz w:val="18"/>
      <w:szCs w:val="18"/>
    </w:rPr>
  </w:style>
  <w:style w:type="paragraph" w:styleId="10">
    <w:name w:val="footer"/>
    <w:basedOn w:val="1"/>
    <w:link w:val="28"/>
    <w:qFormat/>
    <w:uiPriority w:val="99"/>
    <w:pPr>
      <w:tabs>
        <w:tab w:val="center" w:pos="4153"/>
        <w:tab w:val="right" w:pos="8306"/>
      </w:tabs>
      <w:snapToGrid w:val="0"/>
      <w:jc w:val="left"/>
    </w:pPr>
    <w:rPr>
      <w:sz w:val="18"/>
      <w:szCs w:val="18"/>
    </w:rPr>
  </w:style>
  <w:style w:type="paragraph" w:styleId="11">
    <w:name w:val="header"/>
    <w:basedOn w:val="1"/>
    <w:link w:val="29"/>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100" w:beforeAutospacing="1" w:after="100" w:afterAutospacing="1"/>
      <w:jc w:val="left"/>
    </w:pPr>
    <w:rPr>
      <w:kern w:val="0"/>
      <w:sz w:val="24"/>
    </w:rPr>
  </w:style>
  <w:style w:type="paragraph" w:styleId="13">
    <w:name w:val="Title"/>
    <w:basedOn w:val="1"/>
    <w:next w:val="1"/>
    <w:link w:val="30"/>
    <w:qFormat/>
    <w:uiPriority w:val="10"/>
    <w:pPr>
      <w:spacing w:before="240" w:after="60"/>
      <w:jc w:val="center"/>
      <w:outlineLvl w:val="0"/>
    </w:pPr>
    <w:rPr>
      <w:rFonts w:ascii="Cambria" w:hAnsi="Cambria"/>
      <w:b/>
      <w:bCs/>
      <w:sz w:val="32"/>
      <w:szCs w:val="32"/>
    </w:rPr>
  </w:style>
  <w:style w:type="paragraph" w:styleId="14">
    <w:name w:val="annotation subject"/>
    <w:basedOn w:val="6"/>
    <w:next w:val="6"/>
    <w:link w:val="31"/>
    <w:qFormat/>
    <w:uiPriority w:val="0"/>
    <w:rPr>
      <w:b/>
      <w:bCs/>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page number"/>
    <w:uiPriority w:val="0"/>
  </w:style>
  <w:style w:type="character" w:styleId="20">
    <w:name w:val="FollowedHyperlink"/>
    <w:uiPriority w:val="99"/>
    <w:rPr>
      <w:color w:val="800080"/>
      <w:u w:val="none"/>
    </w:rPr>
  </w:style>
  <w:style w:type="character" w:styleId="21">
    <w:name w:val="HTML Definition"/>
    <w:uiPriority w:val="0"/>
    <w:rPr>
      <w:i/>
    </w:rPr>
  </w:style>
  <w:style w:type="character" w:styleId="22">
    <w:name w:val="Hyperlink"/>
    <w:unhideWhenUsed/>
    <w:qFormat/>
    <w:uiPriority w:val="99"/>
    <w:rPr>
      <w:color w:val="0000FF"/>
      <w:u w:val="single"/>
    </w:rPr>
  </w:style>
  <w:style w:type="character" w:styleId="23">
    <w:name w:val="HTML Code"/>
    <w:uiPriority w:val="0"/>
    <w:rPr>
      <w:rFonts w:ascii="serif" w:hAnsi="serif" w:eastAsia="serif" w:cs="serif"/>
      <w:sz w:val="21"/>
      <w:szCs w:val="21"/>
    </w:rPr>
  </w:style>
  <w:style w:type="character" w:styleId="24">
    <w:name w:val="annotation reference"/>
    <w:qFormat/>
    <w:uiPriority w:val="0"/>
    <w:rPr>
      <w:sz w:val="21"/>
      <w:szCs w:val="21"/>
    </w:rPr>
  </w:style>
  <w:style w:type="character" w:styleId="25">
    <w:name w:val="HTML Keyboard"/>
    <w:uiPriority w:val="0"/>
    <w:rPr>
      <w:rFonts w:hint="default" w:ascii="serif" w:hAnsi="serif" w:eastAsia="serif" w:cs="serif"/>
      <w:sz w:val="21"/>
      <w:szCs w:val="21"/>
    </w:rPr>
  </w:style>
  <w:style w:type="character" w:styleId="26">
    <w:name w:val="HTML Sample"/>
    <w:uiPriority w:val="0"/>
    <w:rPr>
      <w:rFonts w:hint="default" w:ascii="serif" w:hAnsi="serif" w:eastAsia="serif" w:cs="serif"/>
      <w:sz w:val="21"/>
      <w:szCs w:val="21"/>
    </w:rPr>
  </w:style>
  <w:style w:type="character" w:customStyle="1" w:styleId="27">
    <w:name w:val="批注文字 字符"/>
    <w:link w:val="6"/>
    <w:qFormat/>
    <w:uiPriority w:val="0"/>
    <w:rPr>
      <w:kern w:val="2"/>
      <w:sz w:val="21"/>
      <w:szCs w:val="24"/>
    </w:rPr>
  </w:style>
  <w:style w:type="character" w:customStyle="1" w:styleId="28">
    <w:name w:val="页脚 字符"/>
    <w:link w:val="10"/>
    <w:qFormat/>
    <w:uiPriority w:val="99"/>
    <w:rPr>
      <w:kern w:val="2"/>
      <w:sz w:val="18"/>
      <w:szCs w:val="18"/>
    </w:rPr>
  </w:style>
  <w:style w:type="character" w:customStyle="1" w:styleId="29">
    <w:name w:val="页眉 字符"/>
    <w:link w:val="11"/>
    <w:qFormat/>
    <w:uiPriority w:val="0"/>
    <w:rPr>
      <w:kern w:val="2"/>
      <w:sz w:val="18"/>
      <w:szCs w:val="18"/>
    </w:rPr>
  </w:style>
  <w:style w:type="character" w:customStyle="1" w:styleId="30">
    <w:name w:val="标题 字符"/>
    <w:link w:val="13"/>
    <w:qFormat/>
    <w:uiPriority w:val="10"/>
    <w:rPr>
      <w:rFonts w:ascii="Cambria" w:hAnsi="Cambria"/>
      <w:b/>
      <w:bCs/>
      <w:kern w:val="2"/>
      <w:sz w:val="32"/>
      <w:szCs w:val="32"/>
    </w:rPr>
  </w:style>
  <w:style w:type="character" w:customStyle="1" w:styleId="31">
    <w:name w:val="批注主题 字符"/>
    <w:link w:val="14"/>
    <w:qFormat/>
    <w:uiPriority w:val="0"/>
    <w:rPr>
      <w:b/>
      <w:bCs/>
      <w:kern w:val="2"/>
      <w:sz w:val="21"/>
      <w:szCs w:val="24"/>
    </w:rPr>
  </w:style>
  <w:style w:type="paragraph" w:customStyle="1" w:styleId="32">
    <w:name w:val="Char Char1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33">
    <w:name w:val="font61"/>
    <w:basedOn w:val="17"/>
    <w:qFormat/>
    <w:uiPriority w:val="0"/>
    <w:rPr>
      <w:rFonts w:hint="eastAsia" w:ascii="宋体" w:hAnsi="宋体" w:eastAsia="宋体" w:cs="宋体"/>
      <w:color w:val="000000"/>
      <w:sz w:val="18"/>
      <w:szCs w:val="18"/>
      <w:u w:val="none"/>
    </w:rPr>
  </w:style>
  <w:style w:type="character" w:customStyle="1" w:styleId="34">
    <w:name w:val="日期 字符"/>
    <w:basedOn w:val="17"/>
    <w:link w:val="8"/>
    <w:uiPriority w:val="0"/>
    <w:rPr>
      <w:kern w:val="2"/>
      <w:sz w:val="21"/>
      <w:szCs w:val="24"/>
    </w:rPr>
  </w:style>
  <w:style w:type="character" w:customStyle="1" w:styleId="35">
    <w:name w:val="first-child"/>
    <w:uiPriority w:val="0"/>
  </w:style>
  <w:style w:type="character" w:customStyle="1" w:styleId="36">
    <w:name w:val="required"/>
    <w:uiPriority w:val="0"/>
    <w:rPr>
      <w:color w:val="FF0000"/>
    </w:rPr>
  </w:style>
  <w:style w:type="character" w:customStyle="1" w:styleId="37">
    <w:name w:val="first-child1"/>
    <w:uiPriority w:val="0"/>
  </w:style>
  <w:style w:type="character" w:customStyle="1" w:styleId="38">
    <w:name w:val="正文文本 字符"/>
    <w:link w:val="7"/>
    <w:uiPriority w:val="0"/>
    <w:rPr>
      <w:kern w:val="2"/>
      <w:sz w:val="28"/>
      <w:szCs w:val="24"/>
    </w:rPr>
  </w:style>
  <w:style w:type="paragraph" w:customStyle="1" w:styleId="39">
    <w:name w:val="ds-markdown-paragraph"/>
    <w:basedOn w:val="1"/>
    <w:uiPriority w:val="0"/>
    <w:pPr>
      <w:widowControl/>
      <w:spacing w:before="100" w:beforeAutospacing="1" w:after="100" w:afterAutospacing="1"/>
      <w:jc w:val="left"/>
    </w:pPr>
    <w:rPr>
      <w:rFonts w:ascii="宋体" w:hAnsi="宋体" w:cs="宋体"/>
      <w:kern w:val="0"/>
      <w:sz w:val="24"/>
    </w:rPr>
  </w:style>
  <w:style w:type="paragraph" w:customStyle="1" w:styleId="40">
    <w:name w:val="msonormal"/>
    <w:basedOn w:val="1"/>
    <w:uiPriority w:val="0"/>
    <w:pPr>
      <w:widowControl/>
      <w:spacing w:before="100" w:beforeAutospacing="1" w:after="100" w:afterAutospacing="1"/>
      <w:jc w:val="left"/>
    </w:pPr>
    <w:rPr>
      <w:rFonts w:ascii="宋体" w:hAnsi="宋体" w:cs="宋体"/>
      <w:kern w:val="0"/>
      <w:sz w:val="24"/>
    </w:rPr>
  </w:style>
  <w:style w:type="paragraph" w:customStyle="1" w:styleId="41">
    <w:name w:val="font5"/>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42">
    <w:name w:val="xl65"/>
    <w:basedOn w:val="1"/>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43">
    <w:name w:val="xl66"/>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44">
    <w:name w:val="xl67"/>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45">
    <w:name w:val="xl68"/>
    <w:basedOn w:val="1"/>
    <w:uiPriority w:val="0"/>
    <w:pPr>
      <w:widowControl/>
      <w:spacing w:before="100" w:beforeAutospacing="1" w:after="100" w:afterAutospacing="1"/>
      <w:jc w:val="left"/>
      <w:textAlignment w:val="center"/>
    </w:pPr>
    <w:rPr>
      <w:rFonts w:ascii="宋体" w:hAnsi="宋体" w:cs="宋体"/>
      <w:kern w:val="0"/>
      <w:sz w:val="18"/>
      <w:szCs w:val="18"/>
    </w:rPr>
  </w:style>
  <w:style w:type="paragraph" w:customStyle="1" w:styleId="46">
    <w:name w:val="xl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47">
    <w:name w:val="xl7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48">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49">
    <w:name w:val="xl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50">
    <w:name w:val="xl7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51">
    <w:name w:val="xl7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2">
    <w:name w:val="xl7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36</Pages>
  <Words>22552</Words>
  <Characters>24520</Characters>
  <Lines>191</Lines>
  <Paragraphs>53</Paragraphs>
  <TotalTime>83</TotalTime>
  <ScaleCrop>false</ScaleCrop>
  <LinksUpToDate>false</LinksUpToDate>
  <CharactersWithSpaces>25224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2026-06-11T20:42:00Z</dcterms:created>
  <dc:creator>薛昊</dc:creator>
  <cp:lastModifiedBy>Lin</cp:lastModifiedBy>
  <cp:lastPrinted>2012-08-29T12:05:00Z</cp:lastPrinted>
  <dcterms:modified xsi:type="dcterms:W3CDTF">2026-07-21T06:59:13Z</dcterms:modified>
  <dc:title>项目需求书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eyJoZGlkIjoiZTBmMzZlNDA3OTBmMGMwZjFjYzM3NWU3ZTBlMjA2MTciLCJ1c2VySWQiOiIxNjg2NzY5Mjk0In0=</vt:lpwstr>
  </property>
  <property fmtid="{D5CDD505-2E9C-101B-9397-08002B2CF9AE}" pid="3" name="KSOProductBuildVer">
    <vt:lpwstr>2052-12.1.0.26895</vt:lpwstr>
  </property>
  <property fmtid="{D5CDD505-2E9C-101B-9397-08002B2CF9AE}" pid="4" name="ICV">
    <vt:lpwstr>EFA51430A9024E2CAC885F2704754FC2_13</vt:lpwstr>
  </property>
</Properties>
</file>